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惠州市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装配式建筑预评价申报工作指南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预评价对象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装配式建筑预评价对象以单体建筑作为计算和评价单元，且应符合国家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或广东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省《装配式建筑评价标准》要求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预评价标准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装配式建筑预评价可以按现行国家、省装配式建筑评价标准进行申报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装配式建筑的预评价应由建设单位(或业主单位)申请。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项目申请预评价原则上应在施工图设计审查前完成，建设单位组织有关单位按照装配式建筑技术要求进行设计，编制装配式建筑项目实施方案、装配率计算书、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设计阶段评分表、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设计专篇(含BIM模型及应用说明)等申报材料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五、申报材料清单</w:t>
      </w:r>
    </w:p>
    <w:tbl>
      <w:tblPr>
        <w:tblStyle w:val="6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300"/>
        <w:gridCol w:w="2621"/>
        <w:gridCol w:w="855"/>
        <w:gridCol w:w="810"/>
        <w:gridCol w:w="870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  (份/套）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    (份/套）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法人代表身份证件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书面委托书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委托办理的提供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被委托人身份证件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委托办理的提供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《惠州市市装配式建筑项目设计阶段技术评价申请表》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纸质：一式三份，加盖建设单位公章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《惠州市装配式建筑项目装配率计算书》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纸质：一式三份，加盖建设单位公章、设计单位公章、施工审查机构技术审查章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《惠州市装配式建筑设计阶段评分表》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纸质：一式三份，加盖建设单位公章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《惠州市装配式建筑项目实施方案》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纸质：一式三份，加盖建设单位公章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项目设计文件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各专业施工图纸（附施工图审查合格书）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、与装配率计算相关的深化设计图纸             电子版：cad 或 PDF 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 xml:space="preserve">PPT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汇报文件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电子版：PPT 或 PDF 格式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说明：以上申报材料，请在专家评审会当天提交纸质文件。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六、预评价工作流程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申请登记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申报单位在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惠州市建筑业协会协会信息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网站（http://www.hzcia.org/index.html）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装配式建筑管理系统填报并上传全部资料，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惠州市建筑业协会绿色建造与装配式建筑分会(以下简称市建协装配式分会）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在3个工作日内，对申报材料进行形式审查，对不符合要求的项目，一次性告知原因并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符合条件的项目予以录入登记。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专家评审。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形式审查通过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之日起15个工作日内，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申报单位可委托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建协装配式分会或自行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组织行业专家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项目评审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会议。申报单位应当根据项目属地管理原则召开评审会议，提前三天告知项目所在地住房城乡建设主管部门，项目所在地住房城乡建设主管部门应派员到评审会现场监督。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（三）出具预评价意见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。项目评审会完成后，由专家组形成最终意见向申报单位出具预评价意见书（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2个工作日内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），并由市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建协装配式分会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汇总后在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网站对外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drawing>
          <wp:inline distT="0" distB="0" distL="114300" distR="114300">
            <wp:extent cx="1872615" cy="4845685"/>
            <wp:effectExtent l="0" t="0" r="0" b="0"/>
            <wp:docPr id="3" name="图片 3" descr="流程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程图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七、联系方式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地址：惠州市东江学府二期21栋101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市建协装配式分会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联系人：植乾波</w:t>
      </w:r>
      <w:bookmarkStart w:id="7" w:name="_GoBack"/>
      <w:bookmarkEnd w:id="7"/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联系电话：0752-2116199，15913851166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邮箱：sjxzpsfh@126.com   </w:t>
      </w:r>
    </w:p>
    <w:p>
      <w:pPr>
        <w:numPr>
          <w:ilvl w:val="-1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-1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附件1-1：</w:t>
      </w:r>
    </w:p>
    <w:p>
      <w:pPr>
        <w:jc w:val="both"/>
        <w:rPr>
          <w:rFonts w:hint="default" w:ascii="Times New Roman" w:hAnsi="Times New Roman" w:eastAsia="仿宋_GB2312" w:cs="Times New Roman"/>
          <w:b/>
          <w:bCs/>
          <w:color w:val="auto"/>
          <w:sz w:val="52"/>
          <w:szCs w:val="5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惠州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市装配式建筑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项目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技术认定申请表</w:t>
      </w:r>
    </w:p>
    <w:p>
      <w:pPr>
        <w:spacing w:line="60" w:lineRule="auto"/>
        <w:jc w:val="center"/>
        <w:rPr>
          <w:rFonts w:hint="default" w:ascii="Times New Roman" w:hAnsi="Times New Roman" w:eastAsia="宋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color w:val="auto"/>
          <w:sz w:val="28"/>
          <w:szCs w:val="28"/>
        </w:rPr>
        <w:t>（</w:t>
      </w:r>
      <w:r>
        <w:rPr>
          <w:rFonts w:hint="default" w:ascii="Times New Roman" w:hAnsi="Times New Roman" w:eastAsia="宋体" w:cs="Times New Roman"/>
          <w:bCs/>
          <w:color w:val="auto"/>
          <w:sz w:val="28"/>
          <w:szCs w:val="28"/>
          <w:lang w:eastAsia="zh-CN"/>
        </w:rPr>
        <w:t>参考格式</w:t>
      </w:r>
      <w:r>
        <w:rPr>
          <w:rFonts w:hint="default" w:ascii="Times New Roman" w:hAnsi="Times New Roman" w:eastAsia="宋体" w:cs="Times New Roman"/>
          <w:bCs/>
          <w:color w:val="auto"/>
          <w:sz w:val="28"/>
          <w:szCs w:val="28"/>
        </w:rPr>
        <w:t>）</w:t>
      </w:r>
    </w:p>
    <w:p>
      <w:pPr>
        <w:spacing w:line="60" w:lineRule="auto"/>
        <w:jc w:val="left"/>
        <w:rPr>
          <w:rFonts w:hint="default" w:ascii="Times New Roman" w:hAnsi="Times New Roman" w:eastAsia="仿宋_GB2312" w:cs="Times New Roman"/>
          <w:b/>
          <w:color w:val="auto"/>
          <w:sz w:val="44"/>
        </w:rPr>
      </w:pPr>
    </w:p>
    <w:p>
      <w:pPr>
        <w:spacing w:line="60" w:lineRule="auto"/>
        <w:jc w:val="center"/>
        <w:rPr>
          <w:rFonts w:hint="default" w:ascii="Times New Roman" w:hAnsi="Times New Roman" w:eastAsia="仿宋_GB2312" w:cs="Times New Roman"/>
          <w:b/>
          <w:color w:val="auto"/>
          <w:sz w:val="44"/>
        </w:rPr>
      </w:pPr>
    </w:p>
    <w:p>
      <w:pPr>
        <w:spacing w:line="60" w:lineRule="auto"/>
        <w:jc w:val="center"/>
        <w:rPr>
          <w:rFonts w:hint="default" w:ascii="Times New Roman" w:hAnsi="Times New Roman" w:eastAsia="仿宋_GB2312" w:cs="Times New Roman"/>
          <w:b/>
          <w:color w:val="auto"/>
          <w:sz w:val="44"/>
        </w:rPr>
      </w:pPr>
    </w:p>
    <w:p>
      <w:pPr>
        <w:spacing w:line="60" w:lineRule="auto"/>
        <w:jc w:val="center"/>
        <w:rPr>
          <w:rFonts w:hint="default" w:ascii="Times New Roman" w:hAnsi="Times New Roman" w:eastAsia="仿宋_GB2312" w:cs="Times New Roman"/>
          <w:b/>
          <w:color w:val="auto"/>
          <w:sz w:val="44"/>
        </w:rPr>
      </w:pPr>
    </w:p>
    <w:p>
      <w:pPr>
        <w:spacing w:line="60" w:lineRule="auto"/>
        <w:jc w:val="both"/>
        <w:rPr>
          <w:rFonts w:hint="default" w:ascii="Times New Roman" w:hAnsi="Times New Roman" w:eastAsia="仿宋_GB2312" w:cs="Times New Roman"/>
          <w:b/>
          <w:color w:val="auto"/>
          <w:sz w:val="44"/>
        </w:rPr>
      </w:pPr>
    </w:p>
    <w:p>
      <w:pPr>
        <w:spacing w:line="60" w:lineRule="auto"/>
        <w:ind w:right="913"/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 xml:space="preserve">           </w:t>
      </w:r>
      <w:r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  <w:t xml:space="preserve"> 项目名称：</w:t>
      </w:r>
      <w:r>
        <w:rPr>
          <w:rFonts w:hint="default" w:ascii="Times New Roman" w:hAnsi="Times New Roman" w:eastAsia="宋体" w:cs="Times New Roman"/>
          <w:bCs/>
          <w:color w:val="auto"/>
          <w:sz w:val="32"/>
          <w:szCs w:val="32"/>
          <w:u w:val="single" w:color="auto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bCs/>
          <w:color w:val="auto"/>
          <w:sz w:val="32"/>
          <w:szCs w:val="32"/>
          <w:u w:val="single"/>
        </w:rPr>
        <w:t xml:space="preserve"> </w:t>
      </w:r>
    </w:p>
    <w:p>
      <w:pPr>
        <w:spacing w:line="60" w:lineRule="auto"/>
        <w:ind w:right="913"/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  <w:t xml:space="preserve">            建设单位：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u w:val="single" w:color="auto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u w:val="single" w:color="auto"/>
        </w:rPr>
        <w:t xml:space="preserve"> </w:t>
      </w:r>
    </w:p>
    <w:p>
      <w:pPr>
        <w:spacing w:line="60" w:lineRule="auto"/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</w:pPr>
    </w:p>
    <w:p>
      <w:pPr>
        <w:spacing w:line="60" w:lineRule="auto"/>
        <w:rPr>
          <w:rFonts w:hint="default" w:ascii="Times New Roman" w:hAnsi="Times New Roman" w:eastAsia="仿宋_GB2312" w:cs="Times New Roman"/>
          <w:bCs/>
          <w:color w:val="auto"/>
          <w:sz w:val="32"/>
        </w:rPr>
      </w:pPr>
    </w:p>
    <w:p>
      <w:pPr>
        <w:spacing w:line="60" w:lineRule="auto"/>
        <w:rPr>
          <w:rFonts w:hint="default" w:ascii="Times New Roman" w:hAnsi="Times New Roman" w:eastAsia="仿宋_GB2312" w:cs="Times New Roman"/>
          <w:bCs/>
          <w:color w:val="auto"/>
          <w:sz w:val="32"/>
        </w:rPr>
      </w:pPr>
    </w:p>
    <w:p>
      <w:pPr>
        <w:spacing w:line="60" w:lineRule="auto"/>
        <w:jc w:val="center"/>
        <w:rPr>
          <w:rFonts w:hint="default" w:ascii="Times New Roman" w:hAnsi="Times New Roman" w:eastAsia="宋体" w:cs="Times New Roman"/>
          <w:bCs/>
          <w:color w:val="auto"/>
          <w:sz w:val="32"/>
        </w:rPr>
      </w:pPr>
      <w:r>
        <w:rPr>
          <w:rFonts w:hint="default" w:ascii="Times New Roman" w:hAnsi="Times New Roman" w:eastAsia="宋体" w:cs="Times New Roman"/>
          <w:bCs/>
          <w:color w:val="auto"/>
          <w:sz w:val="32"/>
        </w:rPr>
        <w:t>申请日期：</w:t>
      </w:r>
      <w:r>
        <w:rPr>
          <w:rFonts w:hint="default" w:ascii="Times New Roman" w:hAnsi="Times New Roman" w:eastAsia="宋体" w:cs="Times New Roman"/>
          <w:bCs/>
          <w:color w:val="auto"/>
          <w:sz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auto"/>
          <w:sz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sz w:val="32"/>
        </w:rPr>
        <w:t>年</w:t>
      </w:r>
      <w:r>
        <w:rPr>
          <w:rFonts w:hint="default" w:ascii="Times New Roman" w:hAnsi="Times New Roman" w:eastAsia="宋体" w:cs="Times New Roman"/>
          <w:bCs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auto"/>
          <w:sz w:val="32"/>
        </w:rPr>
        <w:t>月</w:t>
      </w:r>
      <w:r>
        <w:rPr>
          <w:rFonts w:hint="default" w:ascii="Times New Roman" w:hAnsi="Times New Roman" w:eastAsia="宋体" w:cs="Times New Roman"/>
          <w:bCs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auto"/>
          <w:sz w:val="32"/>
        </w:rPr>
        <w:t>日</w:t>
      </w:r>
    </w:p>
    <w:p>
      <w:pPr>
        <w:spacing w:line="60" w:lineRule="auto"/>
        <w:rPr>
          <w:rFonts w:hint="default" w:ascii="Times New Roman" w:hAnsi="Times New Roman" w:eastAsia="仿宋_GB2312" w:cs="Times New Roman"/>
          <w:b/>
          <w:color w:val="auto"/>
          <w:sz w:val="28"/>
        </w:rPr>
      </w:pPr>
    </w:p>
    <w:p>
      <w:pPr>
        <w:spacing w:line="60" w:lineRule="auto"/>
        <w:rPr>
          <w:rFonts w:hint="default" w:ascii="Times New Roman" w:hAnsi="Times New Roman" w:eastAsia="仿宋_GB2312" w:cs="Times New Roman"/>
          <w:b/>
          <w:color w:val="auto"/>
          <w:sz w:val="28"/>
        </w:rPr>
      </w:pPr>
    </w:p>
    <w:p>
      <w:pPr>
        <w:spacing w:line="60" w:lineRule="auto"/>
        <w:rPr>
          <w:rFonts w:hint="default" w:ascii="Times New Roman" w:hAnsi="Times New Roman" w:eastAsia="仿宋_GB2312" w:cs="Times New Roman"/>
          <w:b/>
          <w:color w:val="auto"/>
          <w:sz w:val="28"/>
        </w:rPr>
      </w:pPr>
    </w:p>
    <w:p>
      <w:pPr>
        <w:spacing w:line="60" w:lineRule="auto"/>
        <w:rPr>
          <w:rFonts w:hint="default" w:ascii="Times New Roman" w:hAnsi="Times New Roman" w:eastAsia="仿宋_GB2312" w:cs="Times New Roman"/>
          <w:b/>
          <w:color w:val="auto"/>
          <w:sz w:val="28"/>
        </w:rPr>
      </w:pPr>
    </w:p>
    <w:p>
      <w:pPr>
        <w:pStyle w:val="12"/>
        <w:rPr>
          <w:rFonts w:hint="default" w:ascii="Times New Roman" w:hAnsi="Times New Roman" w:eastAsia="仿宋_GB2312" w:cs="Times New Roman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2098" w:right="1247" w:bottom="147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54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1.统一按A4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纸规格双面填写、打印。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2.申报材料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项目名称和建设单位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3.建设单位应在封面、骑缝、申报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意见中盖章。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建设单位应对提交的全部申请资料的真实性负相关责任。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5.申请资料清单：</w:t>
      </w:r>
    </w:p>
    <w:tbl>
      <w:tblPr>
        <w:tblStyle w:val="6"/>
        <w:tblW w:w="8734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2490"/>
        <w:gridCol w:w="1433"/>
        <w:gridCol w:w="1433"/>
        <w:gridCol w:w="1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OLE_LINK4"/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材料名称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份数（份/套）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复印件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份数（份/套）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纸质/电子版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法人代表身份证件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书面委托书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委托办理的提供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被委托人身份证件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委托办理的提供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惠州市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市装配式建筑项目技术认定申请表》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纸质：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一式三份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，加盖建设单位公章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电子版：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PDF格式，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光盘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+电子版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项目设计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文件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一式两套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，封面加盖设计单位公章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电子版：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cad格式，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光盘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+电子版</w:t>
            </w:r>
          </w:p>
        </w:tc>
      </w:tr>
      <w:bookmarkEnd w:id="0"/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一、申报单位基本情况</w:t>
      </w:r>
    </w:p>
    <w:tbl>
      <w:tblPr>
        <w:tblStyle w:val="6"/>
        <w:tblpPr w:leftFromText="180" w:rightFromText="180" w:vertAnchor="text" w:horzAnchor="page" w:tblpXSpec="center" w:tblpY="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552"/>
        <w:gridCol w:w="18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建设单位</w:t>
            </w:r>
          </w:p>
        </w:tc>
        <w:tc>
          <w:tcPr>
            <w:tcW w:w="6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企业法人代表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设计单位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资质及证号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施工图审查机构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资质及证号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二、项目基本情况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单位：㎡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490"/>
        <w:gridCol w:w="1553"/>
        <w:gridCol w:w="301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况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项目位置</w:t>
            </w:r>
          </w:p>
        </w:tc>
        <w:tc>
          <w:tcPr>
            <w:tcW w:w="60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用地规划许可证号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用地性质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总用地面积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总建筑面积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各楼栋号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容积率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况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装配式建筑面积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不计容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面积奖励项目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装配式建筑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装配式建筑楼栋号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12"/>
        <w:spacing w:line="32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pStyle w:val="12"/>
        <w:spacing w:line="32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pStyle w:val="12"/>
        <w:spacing w:line="32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2"/>
        <w:numPr>
          <w:ilvl w:val="0"/>
          <w:numId w:val="0"/>
        </w:numPr>
        <w:spacing w:line="3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装配式建筑各单体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建筑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关键指标统计表</w:t>
      </w:r>
    </w:p>
    <w:p>
      <w:pPr>
        <w:pStyle w:val="12"/>
        <w:spacing w:line="320" w:lineRule="exact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tbl>
      <w:tblPr>
        <w:tblStyle w:val="6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238"/>
        <w:gridCol w:w="522"/>
        <w:gridCol w:w="1398"/>
        <w:gridCol w:w="2191"/>
        <w:gridCol w:w="1064"/>
        <w:gridCol w:w="1950"/>
        <w:gridCol w:w="575"/>
        <w:gridCol w:w="1390"/>
        <w:gridCol w:w="109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5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表1：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栋 装配式建筑关键指标统计表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标准层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标准层建筑面积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预制构件种类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装配式模板种类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预制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内墙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种类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预制率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.....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57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单体建筑标准层的平均预制率和装配率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建筑高度</w:t>
            </w:r>
          </w:p>
        </w:tc>
        <w:tc>
          <w:tcPr>
            <w:tcW w:w="3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标准层层高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结构类型</w:t>
            </w:r>
          </w:p>
        </w:tc>
        <w:tc>
          <w:tcPr>
            <w:tcW w:w="3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装配式建筑面积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59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备注：</w:t>
            </w:r>
          </w:p>
        </w:tc>
      </w:tr>
    </w:tbl>
    <w:p>
      <w:pPr>
        <w:pStyle w:val="12"/>
        <w:spacing w:line="480" w:lineRule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sectPr>
          <w:pgSz w:w="16783" w:h="11850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备注：每栋单独列表，依次排列（表2、表3......）。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四、申报单位意见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8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（栋号）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装配式建筑，预制率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装配率符合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惠州市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市装配式建筑现行相关要求，现申请技术认定。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申报单位（名称及盖章）：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720" w:lineRule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附件1-2：</w:t>
      </w:r>
    </w:p>
    <w:p>
      <w:pPr>
        <w:widowControl/>
        <w:spacing w:before="120" w:line="281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28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28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28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28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28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惠州市装配式建筑项目实施方案</w:t>
      </w:r>
    </w:p>
    <w:p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（参考格式）</w:t>
      </w:r>
    </w:p>
    <w:p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before="1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         项目名称：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before="1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         建设单位(盖章)：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202X年XX月XX日</w:t>
      </w:r>
    </w:p>
    <w:p>
      <w:pPr>
        <w:pStyle w:val="14"/>
        <w:adjustRightInd w:val="0"/>
        <w:snapToGrid w:val="0"/>
        <w:spacing w:before="0"/>
        <w:jc w:val="center"/>
        <w:rPr>
          <w:rFonts w:ascii="Times New Roman" w:hAnsi="Times New Roman" w:eastAsia="仿宋_GB2312" w:cs="Times New Roman"/>
          <w:color w:val="auto"/>
          <w:sz w:val="44"/>
          <w:szCs w:val="44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44"/>
          <w:szCs w:val="44"/>
          <w:lang w:val="zh-CN"/>
        </w:rPr>
        <w:t>目录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一、项目概况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二、管理工作机制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（一）建设单位统筹管理工作机制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（二）工程总承包（EPC）模式情况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（三）装配式建筑验收制度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三、装配式建筑的设计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（一）建筑设计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（二）结构设计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（三）装修和机电设计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四、装配式施工策划</w:t>
      </w:r>
    </w:p>
    <w:p>
      <w:pPr>
        <w:adjustRightInd w:val="0"/>
        <w:snapToGrid w:val="0"/>
        <w:spacing w:line="52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（一）施工总平面布置和施工计划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（二）预制构件生产和运输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（三）起重设备和吊装策划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（四）模板施工和外围护设施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（五）标准层装配化施工流程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五、主体结构施工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（一）预制构件吊装工艺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（二）固定支撑体系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（三）连接部位的施工工艺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六、围护墙和内隔墙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（一）非承重围护墙非砌筑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（二）围护墙与装饰、保温隔热集成一体化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（三）内隔墙非砌筑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（四）内隔墙与管线、装修集成一体化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七、装修和机电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（一）全装修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（二）干式工法   </w:t>
      </w:r>
    </w:p>
    <w:p>
      <w:pPr>
        <w:adjustRightInd w:val="0"/>
        <w:snapToGrid w:val="0"/>
        <w:spacing w:line="52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（三）集成厨房   </w:t>
      </w:r>
    </w:p>
    <w:p>
      <w:pPr>
        <w:adjustRightInd w:val="0"/>
        <w:snapToGrid w:val="0"/>
        <w:spacing w:line="52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（四）集成卫生间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</w:t>
      </w:r>
    </w:p>
    <w:p>
      <w:pPr>
        <w:adjustRightInd w:val="0"/>
        <w:snapToGrid w:val="0"/>
        <w:spacing w:line="52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（五）机电装修一体化、管线分离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八、绿色施工与信息化应用情况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（一）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BIM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应用情况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（二）智能化应用情况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（三）绿色施工策划与内容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九、安全保证措施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十、其它需要说明的内容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  <w:sectPr>
          <w:footerReference r:id="rId7" w:type="default"/>
          <w:footerReference r:id="rId8" w:type="even"/>
          <w:pgSz w:w="11906" w:h="16838"/>
          <w:pgMar w:top="2098" w:right="1247" w:bottom="147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（注：各章节应注明页码）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装配式建筑项目实施方案应包含并不限于如下内容：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一、项目概况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简要介绍项目的基本情况，包括项目位置、用地面积、建筑面积、容积率、项目楼栋情况。以列表的方式详细说明装配式建筑各楼栋情况、预制构件（含钢构件，以下同）种类情况、技术评分情况等。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二、管理工作机制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（一）建设单位统筹管理工作机制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1.参建各方情况，以及建设单位统筹协调参建各方的工作机制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2.管理人员配置情况（包括：参加装配式建筑系列培训情况，附培训证明）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3.关键工种产业工人实训情况（包括：构件吊装、套筒灌浆、装配式模板安装等关键工种产业工人岗前实训计划,参加岗前实训及考核合格的产业工人情况）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（二）工程总承包（EPC）模式情况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若采用工程总承包（EPC）模式，详细说明工程总承包商的情况，工程总承包合同的服务内容（附工程总承包合同扫描件相关条款）。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（三）装配式建筑验收制度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1.预制构件（钢构件）样板验收制度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2.装配式标准层结构联合验收制度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三、装配式建筑的设计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（一）建筑设计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1.装配式建筑标准化设计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（1）标准化户型或单一户型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（2）标准化构件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装配式建筑平面、立面设计（包括：总平面、单体平面和立面、预制构件（钢构件）和墙体布置图、墙地面做法表等，要求至少用A3纸彩打，图示清晰。预制构件（钢构件）在设计图纸或BIM中应使用明显的颜色标示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3.架空层、结构转换层、屋面层、避难层、设备层等非标准层与标准层的设计延续性。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4.关键节点设计（包括但不限于：建筑保温、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防水等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（二）结构设计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1.装配式建筑结构体系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2.关键节点设计（包括但不限于：预制构件（钢构件）连接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3.超限审查情况说明（依法应当进行超限高层建筑工程抗震设防专项审查的项目，应当先完成专项审查，在超限审查文件中应包含装配式建筑相关内容）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（三）装修和机电设计</w:t>
      </w:r>
    </w:p>
    <w:p>
      <w:pPr>
        <w:adjustRightInd w:val="0"/>
        <w:snapToGrid w:val="0"/>
        <w:spacing w:line="520" w:lineRule="exact"/>
        <w:ind w:firstLine="280" w:firstLineChars="1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（包括但不限于：材料表、平面布置图、立面布置图、机电布置图、主要节点做法详图）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装配式施工策划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（一）施工总平面布置图和施工计划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（包括但不限于：施工现场总平面布置图含项目出入口位置、施工道路、各栋塔吊布置、预制构件（钢构件）堆放场地位置，施工总体计划和标准层工期安排等）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（二）预制构件生产和运输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：预制构件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（钢构件）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生产概况、以及生产、运输、堆放等组织计划及过程质量控制措施）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1.预制构件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（钢构件）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生产概况（包括预制构件生产单位行业登记管理与星级评价情况）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2.预制构件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（钢构件）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生产的质量控制要点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3.预制构件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（钢构件）标示及成品保护措施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4.预制构件（钢构件）运输路线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起重设备和吊装策划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预制构件（钢构件）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吊装的前期准备工作，各种预制构件的吊装顺序等）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1.各栋塔吊选型、预制构件（钢构件）起吊分析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2.吊具准备、各种预制构件（钢构件）的安装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3.装配式混凝土结构：预制构件与现浇部位、装配式模板的连接，钢筋套筒灌浆的连接、预制构件的支撑；装配式钢结构：钢构件的连接和支撑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4.施工质量控制要点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5.安全保证措施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（四）模板体系和外围护设施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：装配式模板的选用、模板周转套数、模板连接节点、模板平面布置、质量控制措施等）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1.装配式模板平面布置图和竖向布置图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2.装配式模板安装和拆卸等施工工序</w:t>
      </w:r>
    </w:p>
    <w:p>
      <w:pPr>
        <w:adjustRightInd w:val="0"/>
        <w:snapToGrid w:val="0"/>
        <w:spacing w:line="520" w:lineRule="exact"/>
        <w:ind w:firstLine="366" w:firstLineChars="131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3.外围护体系的选择</w:t>
      </w:r>
    </w:p>
    <w:p>
      <w:pPr>
        <w:adjustRightInd w:val="0"/>
        <w:snapToGrid w:val="0"/>
        <w:spacing w:line="520" w:lineRule="exact"/>
        <w:ind w:firstLine="366" w:firstLineChars="131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4.施工质量控制要点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5.安全保证措施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（五）标准层装配化施工流程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（根据技术选用情况填写，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装配式混凝土结构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工具式脚手架方案、成品钢筋网施工、提升式混凝土布料机方案等；装配式钢结构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但不限于：梁梁连接节点装配化施工、梁柱连接节点装配化施工等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装配式混凝土结构：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1.工具式脚手架方案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2.成品钢筋网施工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3.提升式混凝土布料机方案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装配式钢结构：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1.梁梁连接节点装配化施工</w:t>
      </w:r>
    </w:p>
    <w:p>
      <w:pPr>
        <w:adjustRightInd w:val="0"/>
        <w:snapToGrid w:val="0"/>
        <w:spacing w:line="520" w:lineRule="exact"/>
        <w:ind w:firstLine="366" w:firstLineChars="131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2.梁柱连接节点装配化施工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六、围护墙和内隔墙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（一）非承重围护墙非砌筑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（包括但不限于：围护墙体选型，平面布置图、质量控制措施等）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（二）围护墙与装饰、保温隔热集成一体化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根据技术选用情况填写，装配式混凝土结构包括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一体化设计、预制外墙门窗预埋窗框或附框、预制外墙饰面工厂完成、外墙保温做法、单元式幕墙等；装配式钢结构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包括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但不限于：各层装饰、保温隔热一体化外墙、单元式幕墙等）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（三）内隔墙非砌筑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（包括但不限于：内隔墙选型、平面布置图、墙板防开裂质量控制措施等）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1.内墙板类型的选型及节点连接大样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2.内墙板平面布置图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3.内墙板的堆放、运输和安装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4.施工质量控制要点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5.安全保证措施</w:t>
      </w:r>
    </w:p>
    <w:p>
      <w:pPr>
        <w:adjustRightInd w:val="0"/>
        <w:snapToGrid w:val="0"/>
        <w:spacing w:line="520" w:lineRule="exact"/>
        <w:ind w:firstLine="281" w:firstLineChars="100"/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（四）内隔墙与管线、装修集成一体化</w:t>
      </w:r>
    </w:p>
    <w:p>
      <w:pPr>
        <w:adjustRightInd w:val="0"/>
        <w:snapToGrid w:val="0"/>
        <w:spacing w:line="520" w:lineRule="exact"/>
        <w:ind w:firstLine="366" w:firstLineChars="131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七、装修和机电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（一）全装修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（包括但不限于：详细全装修的范围、交付标准等）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（二）干式工法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（根据技术选用情况填写，包括但不限于：楼面、地面和公共区域装修的干式工法施工工艺、质量控制措施等）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（三）集成厨房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（根据技术选用情况填写，包括但不限于：集成厨房选型，干式工法施工工艺，橱柜、灶具、五金配置情况等）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（四）集成卫生间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（根据技术选用情况填写，包括但不限于：集成卫生间选型，干式工法施工工艺，洁柜、洁具、五金配置情况，整体卫浴应用和施工等）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（五）机电装修一体化、管线分离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（根据技术选用情况填写，包括但不限于：一体化设计、机电管线预埋、主体结构和管线分离做法等）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八、绿色施工与信息化应用情况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（一）BIM应用情况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详细说明项目建设不同阶段的BIM应用情况，提供各阶段BIM模型。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1.设计阶段，应用BIM进行施工图设计，包括各专业协同、管线综合、BIM模型制作、施工图和预制构件（钢构件）图信息表达、预制构件连接节点设计、钢筋碰撞、施工工序模拟等。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2.生产阶段，应用BIM传递设计阶段的信息，进行预制构件（钢构件）和装配式模板深化设计和生产管理。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3.施工阶段，应用BIM传递设计、生产阶段的信息，进行施工全过程管控。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（二）智能化应用情况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（包括但不限于：生产、施工、运维阶段信息化应用等）</w:t>
      </w:r>
    </w:p>
    <w:p>
      <w:pPr>
        <w:adjustRightInd w:val="0"/>
        <w:snapToGrid w:val="0"/>
        <w:spacing w:line="520" w:lineRule="exact"/>
        <w:ind w:firstLine="368" w:firstLineChars="13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（三）绿色施工策划与内容</w:t>
      </w:r>
    </w:p>
    <w:p>
      <w:pPr>
        <w:adjustRightInd w:val="0"/>
        <w:snapToGrid w:val="0"/>
        <w:spacing w:line="520" w:lineRule="exact"/>
        <w:ind w:firstLine="366" w:firstLineChars="13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（包括但不限于：按照国家标准《建筑工程绿色施工评价标准》GB/T50640或广东省《建筑工程绿色施工评价标准》DBJ/J15-97开展绿色施工的策划及实施内容等）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九、安全保证措施</w:t>
      </w:r>
    </w:p>
    <w:p>
      <w:pPr>
        <w:adjustRightInd w:val="0"/>
        <w:snapToGrid w:val="0"/>
        <w:spacing w:line="520" w:lineRule="exact"/>
        <w:ind w:firstLine="0" w:firstLineChars="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（包括但不限于：预制构件吊装、临时支撑及模板施工等安全方案、安全生产应急预案等）</w:t>
      </w:r>
    </w:p>
    <w:p>
      <w:pPr>
        <w:adjustRightInd w:val="0"/>
        <w:snapToGrid w:val="0"/>
        <w:spacing w:line="520" w:lineRule="exact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十、其它需要说明的内容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2098" w:right="1247" w:bottom="147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附件1-3-1：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  <w:lang w:eastAsia="zh-CN"/>
        </w:rPr>
        <w:t>惠州</w:t>
      </w: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</w:rPr>
        <w:t>市装配式建筑项目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</w:rPr>
        <w:t>装配率计算书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napToGrid w:val="0"/>
          <w:sz w:val="28"/>
          <w:szCs w:val="28"/>
        </w:rPr>
        <w:t>（采用</w:t>
      </w:r>
      <w:r>
        <w:rPr>
          <w:rFonts w:ascii="Times New Roman" w:hAnsi="Times New Roman" w:eastAsia="仿宋" w:cs="Times New Roman"/>
          <w:snapToGrid w:val="0"/>
          <w:sz w:val="28"/>
          <w:szCs w:val="28"/>
        </w:rPr>
        <w:t>国标计算</w:t>
      </w:r>
      <w:r>
        <w:rPr>
          <w:rFonts w:hint="default" w:ascii="Times New Roman" w:hAnsi="Times New Roman" w:eastAsia="仿宋" w:cs="Times New Roman"/>
          <w:snapToGrid w:val="0"/>
          <w:sz w:val="28"/>
          <w:szCs w:val="28"/>
        </w:rPr>
        <w:t>参考格式）</w:t>
      </w:r>
    </w:p>
    <w:p>
      <w:pPr>
        <w:adjustRightInd w:val="0"/>
        <w:snapToGrid w:val="0"/>
        <w:rPr>
          <w:rFonts w:ascii="Times New Roman" w:hAnsi="Times New Roman" w:eastAsia="仿宋" w:cs="Times New Roman"/>
          <w:snapToGrid w:val="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jc w:val="left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项目名称：________________________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建设单位：________________________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设计单位：________________________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日    期：________________________</w:t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  <w:r>
        <w:rPr>
          <w:rFonts w:ascii="Times New Roman" w:hAnsi="Times New Roman" w:eastAsia="仿宋" w:cs="Times New Roman"/>
          <w:sz w:val="44"/>
          <w:szCs w:val="44"/>
          <w:lang w:val="zh-CN"/>
        </w:rPr>
        <w:br w:type="page"/>
      </w: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设  计  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校  对  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专业负责人：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专业审核人：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</w:t>
      </w:r>
    </w:p>
    <w:p>
      <w:pPr>
        <w:pStyle w:val="14"/>
        <w:adjustRightInd w:val="0"/>
        <w:snapToGrid w:val="0"/>
        <w:spacing w:before="0"/>
        <w:ind w:left="2100" w:leftChars="1000"/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</w:pP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</w:rPr>
        <w:t>专业审定人：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  <w:br w:type="page"/>
      </w:r>
    </w:p>
    <w:p>
      <w:pPr>
        <w:pStyle w:val="14"/>
        <w:adjustRightInd w:val="0"/>
        <w:snapToGrid w:val="0"/>
        <w:spacing w:before="0"/>
        <w:jc w:val="center"/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</w:pPr>
      <w:r>
        <w:rPr>
          <w:rFonts w:hint="default" w:ascii="Times New Roman" w:hAnsi="Times New Roman" w:eastAsia="仿宋" w:cs="Times New Roman"/>
          <w:color w:val="auto"/>
          <w:sz w:val="44"/>
          <w:szCs w:val="44"/>
          <w:lang w:val="zh-CN"/>
        </w:rPr>
        <w:t>目录</w:t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TOC \o "1-3" \h \z \u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\l "_Toc436"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一、项目基本情况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\l "_Toc1200"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二、装配式建筑设计方案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\l "_Toc27346"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三、装配率的详细计算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\l "_Toc31119"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</w:rPr>
        <w:t>四、结论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XX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240" w:lineRule="auto"/>
        <w:rPr>
          <w:rFonts w:ascii="Times New Roman" w:hAnsi="Times New Roman" w:eastAsia="仿宋" w:cs="Times New Roman"/>
          <w:sz w:val="32"/>
          <w:szCs w:val="32"/>
        </w:rPr>
        <w:sectPr>
          <w:footerReference r:id="rId9" w:type="default"/>
          <w:footerReference r:id="rId10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一、项目基本情况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项目位于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惠州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区，共有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栋塔楼，其中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栋实施装配式建筑，装配式建筑总建筑面积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平方米。</w:t>
      </w:r>
    </w:p>
    <w:p>
      <w:pPr>
        <w:adjustRightInd w:val="0"/>
        <w:snapToGrid w:val="0"/>
        <w:spacing w:line="520" w:lineRule="exact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其中：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栋塔楼建筑高度</w:t>
      </w:r>
      <w:bookmarkStart w:id="1" w:name="OLE_LINK136"/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bookmarkEnd w:id="1"/>
      <w:r>
        <w:rPr>
          <w:rFonts w:hint="default" w:ascii="Times New Roman" w:hAnsi="Times New Roman" w:eastAsia="仿宋" w:cs="Times New Roman"/>
          <w:sz w:val="28"/>
          <w:szCs w:val="28"/>
        </w:rPr>
        <w:t>米，单体建筑面积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平方米；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栋塔楼建筑高度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米，单体建筑面积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平方米。</w:t>
      </w:r>
    </w:p>
    <w:p>
      <w:pPr>
        <w:adjustRightInd w:val="0"/>
        <w:snapToGrid w:val="0"/>
        <w:spacing w:line="520" w:lineRule="exact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项目</w:t>
      </w:r>
      <w:r>
        <w:rPr>
          <w:rFonts w:ascii="Times New Roman" w:hAnsi="Times New Roman" w:eastAsia="仿宋" w:cs="Times New Roman"/>
          <w:sz w:val="28"/>
          <w:szCs w:val="28"/>
        </w:rPr>
        <w:t>总平面效果图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（项目</w:t>
      </w:r>
      <w:r>
        <w:rPr>
          <w:rFonts w:ascii="Times New Roman" w:hAnsi="Times New Roman" w:eastAsia="仿宋" w:cs="Times New Roman"/>
          <w:sz w:val="22"/>
          <w:szCs w:val="28"/>
        </w:rPr>
        <w:t>总平面效果图</w:t>
      </w:r>
      <w:r>
        <w:rPr>
          <w:rFonts w:hint="default" w:ascii="Times New Roman" w:hAnsi="Times New Roman" w:eastAsia="仿宋" w:cs="Times New Roman"/>
          <w:sz w:val="22"/>
          <w:szCs w:val="28"/>
        </w:rPr>
        <w:t>对实施装配式建筑范围图示）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二、装配式建筑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设计方案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（一）本项目装配率实施情况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本项目装配率为（按</w:t>
      </w:r>
      <w:r>
        <w:rPr>
          <w:rFonts w:ascii="Times New Roman" w:hAnsi="Times New Roman" w:eastAsia="仿宋" w:cs="Times New Roman"/>
          <w:bCs/>
          <w:sz w:val="28"/>
          <w:szCs w:val="28"/>
        </w:rPr>
        <w:t>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分开</w:t>
      </w:r>
      <w:r>
        <w:rPr>
          <w:rFonts w:ascii="Times New Roman" w:hAnsi="Times New Roman" w:eastAsia="仿宋" w:cs="Times New Roman"/>
          <w:bCs/>
          <w:sz w:val="28"/>
          <w:szCs w:val="28"/>
        </w:rPr>
        <w:t>填写）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其中，Q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1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主体</w:t>
      </w:r>
      <w:r>
        <w:rPr>
          <w:rFonts w:ascii="Times New Roman" w:hAnsi="Times New Roman" w:eastAsia="仿宋" w:cs="Times New Roman"/>
          <w:bCs/>
          <w:sz w:val="28"/>
          <w:szCs w:val="28"/>
        </w:rPr>
        <w:t>结构得分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围护墙和</w:t>
      </w:r>
      <w:r>
        <w:rPr>
          <w:rFonts w:ascii="Times New Roman" w:hAnsi="Times New Roman" w:eastAsia="仿宋" w:cs="Times New Roman"/>
          <w:bCs/>
          <w:sz w:val="28"/>
          <w:szCs w:val="28"/>
        </w:rPr>
        <w:t>内隔墙得分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装修和设备管线</w:t>
      </w:r>
      <w:r>
        <w:rPr>
          <w:rFonts w:ascii="Times New Roman" w:hAnsi="Times New Roman" w:eastAsia="仿宋" w:cs="Times New Roman"/>
          <w:bCs/>
          <w:sz w:val="28"/>
          <w:szCs w:val="28"/>
        </w:rPr>
        <w:t>得分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装配率不低于50</w:t>
      </w:r>
      <w:r>
        <w:rPr>
          <w:rFonts w:ascii="Times New Roman" w:hAnsi="Times New Roman" w:eastAsia="仿宋" w:cs="Times New Roman"/>
          <w:bCs/>
          <w:sz w:val="28"/>
          <w:szCs w:val="28"/>
        </w:rPr>
        <w:t>%。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（二）装配式建筑评分表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default"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X栋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三维</w:t>
      </w:r>
      <w:r>
        <w:rPr>
          <w:rFonts w:ascii="Times New Roman" w:hAnsi="Times New Roman" w:eastAsia="仿宋" w:cs="Times New Roman"/>
          <w:sz w:val="28"/>
          <w:szCs w:val="28"/>
        </w:rPr>
        <w:t>模型图（</w:t>
      </w:r>
      <w:r>
        <w:rPr>
          <w:rFonts w:hint="default" w:ascii="Times New Roman" w:hAnsi="Times New Roman" w:eastAsia="仿宋" w:cs="Times New Roman"/>
          <w:sz w:val="28"/>
          <w:szCs w:val="28"/>
        </w:rPr>
        <w:t>带</w:t>
      </w:r>
      <w:r>
        <w:rPr>
          <w:rFonts w:ascii="Times New Roman" w:hAnsi="Times New Roman" w:eastAsia="仿宋" w:cs="Times New Roman"/>
          <w:sz w:val="28"/>
          <w:szCs w:val="28"/>
        </w:rPr>
        <w:t xml:space="preserve">装配式说明） 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</w:rPr>
        <w:drawing>
          <wp:inline distT="0" distB="0" distL="0" distR="0">
            <wp:extent cx="1000125" cy="28860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14" name="图片 14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X栋装配式建筑B</w:t>
      </w:r>
      <w:r>
        <w:rPr>
          <w:rFonts w:ascii="Times New Roman" w:hAnsi="Times New Roman" w:eastAsia="仿宋" w:cs="Times New Roman"/>
          <w:sz w:val="22"/>
          <w:szCs w:val="28"/>
        </w:rPr>
        <w:t>IM模型及图例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1.2 </w:t>
      </w:r>
      <w:r>
        <w:rPr>
          <w:rFonts w:hint="default" w:ascii="Times New Roman" w:hAnsi="Times New Roman" w:eastAsia="仿宋" w:cs="Times New Roman"/>
          <w:sz w:val="28"/>
          <w:szCs w:val="28"/>
        </w:rPr>
        <w:t>X栋装配式建筑评分表：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2979"/>
        <w:gridCol w:w="1295"/>
        <w:gridCol w:w="715"/>
        <w:gridCol w:w="715"/>
        <w:gridCol w:w="713"/>
        <w:gridCol w:w="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50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评价项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评价要求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评价分值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最低分值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实际</w:t>
            </w:r>
            <w:r>
              <w:rPr>
                <w:rFonts w:ascii="Times New Roman" w:hAnsi="Times New Roman" w:eastAsia="仿宋" w:cs="Times New Roman"/>
                <w:szCs w:val="21"/>
              </w:rPr>
              <w:t>应用比例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实际</w:t>
            </w:r>
            <w:r>
              <w:rPr>
                <w:rFonts w:ascii="Times New Roman" w:hAnsi="Times New Roman" w:eastAsia="仿宋" w:cs="Times New Roman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2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主体结构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（Q1）（50分）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柱、支撑、承重墙、延性墙板等竖向构件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35%≤比例≤80%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20～30*</w:t>
            </w:r>
          </w:p>
        </w:tc>
        <w:tc>
          <w:tcPr>
            <w:tcW w:w="42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0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梁、板、楼梯、阳台、空调板等构件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70%≤比例≤80%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10~20*</w:t>
            </w:r>
          </w:p>
        </w:tc>
        <w:tc>
          <w:tcPr>
            <w:tcW w:w="429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2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围护墙和内隔墙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（Q2）（20分）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非承重围护墙非砌筑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比例≥80%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429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szCs w:val="21"/>
              </w:rPr>
              <w:t>0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围护墙与保温、隔热、装饰一体化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50%≤比例≤80%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2～5*</w:t>
            </w:r>
          </w:p>
        </w:tc>
        <w:tc>
          <w:tcPr>
            <w:tcW w:w="4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内隔墙非砌筑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比例≥50%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4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内隔墙与管线、装修一体化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50%≤比例≤80%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2～5*</w:t>
            </w:r>
          </w:p>
        </w:tc>
        <w:tc>
          <w:tcPr>
            <w:tcW w:w="429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2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装修和设备管线</w:t>
            </w:r>
          </w:p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（Q3）（30分）</w:t>
            </w: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全装修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─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干式工法楼面、地面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比例≥70%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firstLine="466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集成厨房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70%≤比例≤90%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3~6*</w:t>
            </w:r>
          </w:p>
        </w:tc>
        <w:tc>
          <w:tcPr>
            <w:tcW w:w="429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集成卫生间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70%≤比例≤90%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3~6*</w:t>
            </w:r>
          </w:p>
        </w:tc>
        <w:tc>
          <w:tcPr>
            <w:tcW w:w="429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2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7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管线分离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50%≤比例≤70%</w:t>
            </w:r>
          </w:p>
        </w:tc>
        <w:tc>
          <w:tcPr>
            <w:tcW w:w="4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4~6*</w:t>
            </w:r>
          </w:p>
        </w:tc>
        <w:tc>
          <w:tcPr>
            <w:tcW w:w="429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715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合计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before="156" w:line="360" w:lineRule="auto"/>
              <w:ind w:left="424" w:leftChars="202" w:firstLine="468" w:firstLineChars="222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 xml:space="preserve">1 </w:t>
      </w:r>
      <w:r>
        <w:rPr>
          <w:rFonts w:hint="default" w:ascii="Times New Roman" w:hAnsi="Times New Roman" w:eastAsia="仿宋" w:cs="Times New Roman"/>
          <w:sz w:val="28"/>
          <w:szCs w:val="28"/>
        </w:rPr>
        <w:t>X栋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三维</w:t>
      </w:r>
      <w:r>
        <w:rPr>
          <w:rFonts w:ascii="Times New Roman" w:hAnsi="Times New Roman" w:eastAsia="仿宋" w:cs="Times New Roman"/>
          <w:sz w:val="28"/>
          <w:szCs w:val="28"/>
        </w:rPr>
        <w:t>模型图（</w:t>
      </w:r>
      <w:r>
        <w:rPr>
          <w:rFonts w:hint="default" w:ascii="Times New Roman" w:hAnsi="Times New Roman" w:eastAsia="仿宋" w:cs="Times New Roman"/>
          <w:sz w:val="28"/>
          <w:szCs w:val="28"/>
        </w:rPr>
        <w:t>带</w:t>
      </w:r>
      <w:r>
        <w:rPr>
          <w:rFonts w:ascii="Times New Roman" w:hAnsi="Times New Roman" w:eastAsia="仿宋" w:cs="Times New Roman"/>
          <w:sz w:val="28"/>
          <w:szCs w:val="28"/>
        </w:rPr>
        <w:t xml:space="preserve">装配式说明） </w:t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（X栋BIM三维模型图）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2.2 X栋装配式建筑评分表：</w:t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（X栋装配式建筑评分表）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（三）本项目主体</w:t>
      </w:r>
      <w:r>
        <w:rPr>
          <w:rFonts w:ascii="Times New Roman" w:hAnsi="Times New Roman" w:eastAsia="仿宋" w:cs="Times New Roman"/>
          <w:b/>
          <w:sz w:val="28"/>
          <w:szCs w:val="28"/>
        </w:rPr>
        <w:t>结构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采用预制部品部件种类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3.1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X栋主体</w:t>
      </w:r>
      <w:r>
        <w:rPr>
          <w:rFonts w:ascii="Times New Roman" w:hAnsi="Times New Roman" w:eastAsia="仿宋" w:cs="Times New Roman"/>
          <w:sz w:val="28"/>
          <w:szCs w:val="28"/>
        </w:rPr>
        <w:t>结构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（如：预制剪力墙、预制柱、预制楼板、预制阳台、预制楼梯段、预制梁、预制空调板等）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3.</w:t>
      </w:r>
      <w:r>
        <w:rPr>
          <w:rFonts w:ascii="Times New Roman" w:hAnsi="Times New Roman" w:eastAsia="仿宋" w:cs="Times New Roman"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X栋主体</w:t>
      </w:r>
      <w:r>
        <w:rPr>
          <w:rFonts w:ascii="Times New Roman" w:hAnsi="Times New Roman" w:eastAsia="仿宋" w:cs="Times New Roman"/>
          <w:sz w:val="28"/>
          <w:szCs w:val="28"/>
        </w:rPr>
        <w:t>结构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（如：预制剪力墙、预制柱、预制楼板、预制阳台、预制楼梯段、预制梁、预制空调板等）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（四）本项目围护墙和</w:t>
      </w:r>
      <w:r>
        <w:rPr>
          <w:rFonts w:ascii="Times New Roman" w:hAnsi="Times New Roman" w:eastAsia="仿宋" w:cs="Times New Roman"/>
          <w:b/>
          <w:sz w:val="28"/>
          <w:szCs w:val="28"/>
        </w:rPr>
        <w:t>内隔墙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采用预制部品部件种类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4.1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X栋围护墙</w:t>
      </w:r>
      <w:r>
        <w:rPr>
          <w:rFonts w:ascii="Times New Roman" w:hAnsi="Times New Roman" w:eastAsia="仿宋" w:cs="Times New Roman"/>
          <w:sz w:val="28"/>
          <w:szCs w:val="28"/>
        </w:rPr>
        <w:t>和内隔墙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（如：预制外墙板、轻质内隔墙等）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4.</w:t>
      </w:r>
      <w:r>
        <w:rPr>
          <w:rFonts w:ascii="Times New Roman" w:hAnsi="Times New Roman" w:eastAsia="仿宋" w:cs="Times New Roman"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X栋围护墙</w:t>
      </w:r>
      <w:r>
        <w:rPr>
          <w:rFonts w:ascii="Times New Roman" w:hAnsi="Times New Roman" w:eastAsia="仿宋" w:cs="Times New Roman"/>
          <w:sz w:val="28"/>
          <w:szCs w:val="28"/>
        </w:rPr>
        <w:t>和内隔墙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（如：预制外墙板、轻质内隔墙等）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（五）本项目装修与设备管线采用的措施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5.1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采用装修与设备管线的措施是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（如:全装修、干式工法楼面地面、集成厨房、集成卫生间、管线分离）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5.</w:t>
      </w:r>
      <w:r>
        <w:rPr>
          <w:rFonts w:ascii="Times New Roman" w:hAnsi="Times New Roman" w:eastAsia="仿宋" w:cs="Times New Roman"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 本项目</w:t>
      </w:r>
      <w:r>
        <w:rPr>
          <w:rFonts w:hint="default" w:ascii="Times New Roman" w:hAnsi="Times New Roman" w:eastAsia="仿宋" w:cs="Times New Roman"/>
          <w:sz w:val="28"/>
          <w:szCs w:val="28"/>
        </w:rPr>
        <w:t>X栋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 xml:space="preserve">采用装修与设备管线的措施是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（如:全装修、干式工法楼地面、集成厨房、集成卫生间、管线分离）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（六）本项目代表性楼层预制部品部件分布图 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（代表性楼层预制部品部件分布不同，每种分布均应有分布图及BIM模型布置图。分布图</w:t>
      </w:r>
      <w:r>
        <w:rPr>
          <w:rFonts w:ascii="Times New Roman" w:hAnsi="Times New Roman" w:eastAsia="仿宋" w:cs="Times New Roman"/>
          <w:bCs/>
          <w:sz w:val="28"/>
          <w:szCs w:val="28"/>
        </w:rPr>
        <w:t>及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BIM模型</w:t>
      </w:r>
      <w:r>
        <w:rPr>
          <w:rFonts w:ascii="Times New Roman" w:hAnsi="Times New Roman" w:eastAsia="仿宋" w:cs="Times New Roman"/>
          <w:bCs/>
          <w:sz w:val="28"/>
          <w:szCs w:val="28"/>
        </w:rPr>
        <w:t>布置图应含有部品部件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编号、配重图以及图例）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 xml:space="preserve">1 </w:t>
      </w:r>
      <w:r>
        <w:rPr>
          <w:rFonts w:hint="default" w:ascii="Times New Roman" w:hAnsi="Times New Roman" w:eastAsia="仿宋" w:cs="Times New Roman"/>
          <w:sz w:val="28"/>
          <w:szCs w:val="28"/>
        </w:rPr>
        <w:t>X栋X层预制部品部件分布图：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......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 xml:space="preserve">2 </w:t>
      </w:r>
      <w:r>
        <w:rPr>
          <w:rFonts w:hint="default" w:ascii="Times New Roman" w:hAnsi="Times New Roman" w:eastAsia="仿宋" w:cs="Times New Roman"/>
          <w:sz w:val="28"/>
          <w:szCs w:val="28"/>
        </w:rPr>
        <w:t>X栋X层预制部品部件B</w:t>
      </w:r>
      <w:r>
        <w:rPr>
          <w:rFonts w:ascii="Times New Roman" w:hAnsi="Times New Roman" w:eastAsia="仿宋" w:cs="Times New Roman"/>
          <w:sz w:val="28"/>
          <w:szCs w:val="28"/>
        </w:rPr>
        <w:t>IM</w:t>
      </w:r>
      <w:r>
        <w:rPr>
          <w:rFonts w:hint="default" w:ascii="Times New Roman" w:hAnsi="Times New Roman" w:eastAsia="仿宋" w:cs="Times New Roman"/>
          <w:sz w:val="28"/>
          <w:szCs w:val="28"/>
        </w:rPr>
        <w:t>模型</w:t>
      </w:r>
      <w:r>
        <w:rPr>
          <w:rFonts w:ascii="Times New Roman" w:hAnsi="Times New Roman" w:eastAsia="仿宋" w:cs="Times New Roman"/>
          <w:sz w:val="28"/>
          <w:szCs w:val="28"/>
        </w:rPr>
        <w:t>布置</w:t>
      </w:r>
      <w:r>
        <w:rPr>
          <w:rFonts w:hint="default" w:ascii="Times New Roman" w:hAnsi="Times New Roman" w:eastAsia="仿宋" w:cs="Times New Roman"/>
          <w:sz w:val="28"/>
          <w:szCs w:val="28"/>
        </w:rPr>
        <w:t>图：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295775" cy="3600450"/>
            <wp:effectExtent l="0" t="0" r="9525" b="0"/>
            <wp:docPr id="13" name="图片 13" descr="商住楼标准层三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商住楼标准层三维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7" t="5130" r="22552" b="1794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12" name="图片 12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X栋X层B</w:t>
      </w:r>
      <w:r>
        <w:rPr>
          <w:rFonts w:ascii="Times New Roman" w:hAnsi="Times New Roman" w:eastAsia="仿宋" w:cs="Times New Roman"/>
          <w:sz w:val="22"/>
          <w:szCs w:val="28"/>
        </w:rPr>
        <w:t>IM模型</w:t>
      </w:r>
      <w:r>
        <w:rPr>
          <w:rFonts w:hint="default" w:ascii="Times New Roman" w:hAnsi="Times New Roman" w:eastAsia="仿宋" w:cs="Times New Roman"/>
          <w:sz w:val="22"/>
          <w:szCs w:val="28"/>
        </w:rPr>
        <w:t>三维</w:t>
      </w:r>
      <w:r>
        <w:rPr>
          <w:rFonts w:ascii="Times New Roman" w:hAnsi="Times New Roman" w:eastAsia="仿宋" w:cs="Times New Roman"/>
          <w:sz w:val="22"/>
          <w:szCs w:val="28"/>
        </w:rPr>
        <w:t>图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181475" cy="3600450"/>
            <wp:effectExtent l="0" t="0" r="9525" b="0"/>
            <wp:docPr id="11" name="图片 11" descr="商住楼标准层平面图1（无图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商住楼标准层平面图1（无图框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r="906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10" name="图片 10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X栋X层B</w:t>
      </w:r>
      <w:r>
        <w:rPr>
          <w:rFonts w:ascii="Times New Roman" w:hAnsi="Times New Roman" w:eastAsia="仿宋" w:cs="Times New Roman"/>
          <w:sz w:val="22"/>
          <w:szCs w:val="28"/>
        </w:rPr>
        <w:t>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</w:t>
      </w:r>
      <w:r>
        <w:rPr>
          <w:rFonts w:ascii="Times New Roman" w:hAnsi="Times New Roman" w:eastAsia="仿宋" w:cs="Times New Roman"/>
          <w:sz w:val="22"/>
          <w:szCs w:val="28"/>
        </w:rPr>
        <w:t>平面布置图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6.3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X栋X-XX层预制部品部件分布图：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......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6.4 X栋X层预制部品部件B</w:t>
      </w:r>
      <w:r>
        <w:rPr>
          <w:rFonts w:ascii="Times New Roman" w:hAnsi="Times New Roman" w:eastAsia="仿宋" w:cs="Times New Roman"/>
          <w:sz w:val="28"/>
          <w:szCs w:val="28"/>
        </w:rPr>
        <w:t>IM</w:t>
      </w:r>
      <w:r>
        <w:rPr>
          <w:rFonts w:hint="default" w:ascii="Times New Roman" w:hAnsi="Times New Roman" w:eastAsia="仿宋" w:cs="Times New Roman"/>
          <w:sz w:val="28"/>
          <w:szCs w:val="28"/>
        </w:rPr>
        <w:t>模型</w:t>
      </w:r>
      <w:r>
        <w:rPr>
          <w:rFonts w:ascii="Times New Roman" w:hAnsi="Times New Roman" w:eastAsia="仿宋" w:cs="Times New Roman"/>
          <w:sz w:val="28"/>
          <w:szCs w:val="28"/>
        </w:rPr>
        <w:t>布置</w:t>
      </w:r>
      <w:r>
        <w:rPr>
          <w:rFonts w:hint="default" w:ascii="Times New Roman" w:hAnsi="Times New Roman" w:eastAsia="仿宋" w:cs="Times New Roman"/>
          <w:sz w:val="28"/>
          <w:szCs w:val="28"/>
        </w:rPr>
        <w:t>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......</w:t>
      </w:r>
    </w:p>
    <w:p>
      <w:pPr>
        <w:rPr>
          <w:rFonts w:ascii="Times New Roman" w:hAnsi="Times New Roman" w:eastAsia="仿宋" w:cs="Times New Roman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二、装配率计算依据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>按照国家标准《装配式建筑评价标准》关于装配率计算的相关办法。</w:t>
      </w:r>
    </w:p>
    <w:p>
      <w:pPr>
        <w:rPr>
          <w:rFonts w:ascii="Times New Roman" w:hAnsi="Times New Roman" w:eastAsia="仿宋" w:cs="Times New Roman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三、装配率的详细计算</w:t>
      </w:r>
    </w:p>
    <w:p>
      <w:pPr>
        <w:keepNext/>
        <w:keepLines/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（注：装配率应分楼栋进行统计，预制部品部件应注明类别并分类统计）。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主体结构竖向构件的体积及应用比例统计表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 xml:space="preserve"> X栋 主体结构预制部品部件的体积统计表</w:t>
      </w:r>
    </w:p>
    <w:tbl>
      <w:tblPr>
        <w:tblStyle w:val="6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1107"/>
        <w:gridCol w:w="2396"/>
        <w:gridCol w:w="1926"/>
        <w:gridCol w:w="25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X栋 主体结构预制部品部件的体积统计表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X-XX层，共XX层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预制部品部件类型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单体建筑内该预制部品部件数量（件）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单件预制部品部件体积（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单体建筑内该预制部品部件总体积（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V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bscript"/>
              </w:rPr>
              <w:t>1a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4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柱、支撑、承重墙、延性墙板等主体结构竖向构件混凝土总体积V（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</w:rPr>
        <w:t>=V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1a</w:t>
      </w:r>
      <w:r>
        <w:rPr>
          <w:rFonts w:ascii="Times New Roman" w:hAnsi="Times New Roman" w:eastAsia="仿宋" w:cs="Times New Roman"/>
          <w:bCs/>
          <w:sz w:val="28"/>
          <w:szCs w:val="28"/>
        </w:rPr>
        <w:t>/V×100%=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1.2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 主体结构预制部品部件体积详细统计表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10"/>
        <w:gridCol w:w="1110"/>
        <w:gridCol w:w="1110"/>
        <w:gridCol w:w="830"/>
        <w:gridCol w:w="830"/>
        <w:gridCol w:w="1456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主体结构预制部品部件体积统计表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预制部品部件编号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长度（mm）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厚度（mm）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高度（mm）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洞口面积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预制部品部件体积（m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预制部分重量（t）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长度(mm)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高度(mm)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主体结构的梁、板、楼梯、阳台、空调板等预制部品部件面积及应用比例统计表</w:t>
      </w:r>
    </w:p>
    <w:p>
      <w:pPr>
        <w:widowControl/>
        <w:adjustRightInd w:val="0"/>
        <w:snapToGrid w:val="0"/>
        <w:spacing w:line="520" w:lineRule="exact"/>
        <w:jc w:val="lef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2.1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 xml:space="preserve"> X栋 主体结构的梁、板、楼梯、阳台、空调板等预制部品部件面积及应用比例统计表</w:t>
      </w:r>
    </w:p>
    <w:tbl>
      <w:tblPr>
        <w:tblStyle w:val="6"/>
        <w:tblW w:w="82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3574"/>
        <w:gridCol w:w="37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X栋 主体结构的梁、板、楼梯、阳台、空调板等预制部品部件面积及应用比例统计表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X-XX层，共XX层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层数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本层建筑内该预制部品部件总面积（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bscript"/>
              </w:rPr>
              <w:t>1b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各楼层建筑平面总面积A（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1b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1b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非承重围护墙非砌筑外表面积及应用比例统计表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3.1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 非承重围护墙非砌筑外表面积及应用比例统计表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2"/>
        <w:gridCol w:w="2176"/>
        <w:gridCol w:w="2197"/>
        <w:gridCol w:w="26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X栋 非承重围护墙非砌筑外表面积及应用比例统计表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预制部品部件类型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单件预制部品部件面积（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单体建筑内该预制部品部件总面积（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各楼层非承重围护墙外表面总面积A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  <w:vertAlign w:val="subscript"/>
              </w:rPr>
              <w:t>w1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2a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2a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w1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3.2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X栋非承重围护墙非砌筑表面积详细统计表</w:t>
      </w:r>
    </w:p>
    <w:tbl>
      <w:tblPr>
        <w:tblStyle w:val="6"/>
        <w:tblW w:w="833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021"/>
        <w:gridCol w:w="1106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3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围护墙评价分值表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w1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（%）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围护墙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围护墙采用墙体、保温、隔热、装饰一体化面积及应用比例统计表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571"/>
        <w:gridCol w:w="2402"/>
        <w:gridCol w:w="23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围护墙采用墙体、保温、隔热、装饰一体化面积及应用比例统计表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单体建筑内该围护墙数量（件）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单件一体化墙面面积（m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各楼层围护墙外表面总面积A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w2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2b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2b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w2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内隔墙非砌筑外表面积及应用比例统计表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5.1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X栋内隔墙非砌筑外表面积及应用比例统计表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3464"/>
        <w:gridCol w:w="4312"/>
      </w:tblGrid>
      <w:tr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内隔墙非砌筑外表面积及应用比例统计表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单件预制部品部件面积（m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单体建筑内该预制部品部件总面积（m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各楼层内隔墙外表面总面积A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w3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2c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2c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w3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5.2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X栋非承重围护墙非砌筑表面积详细统计表</w:t>
      </w:r>
    </w:p>
    <w:tbl>
      <w:tblPr>
        <w:tblStyle w:val="6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6"/>
        <w:gridCol w:w="1064"/>
        <w:gridCol w:w="1064"/>
        <w:gridCol w:w="127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X栋内隔墙非砌筑外表面积及应用比例统计表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编号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w2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74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（%）</w:t>
            </w:r>
          </w:p>
        </w:tc>
        <w:tc>
          <w:tcPr>
            <w:tcW w:w="12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内隔墙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内隔墙与管线、装修一体化面积及应用比例统计表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6.1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X栋内隔墙与管线、装修一体化面积及应用比例统计表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2034"/>
        <w:gridCol w:w="2054"/>
        <w:gridCol w:w="3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内隔墙与管线、装修一体化面积及应用比例统计表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采用一体化的墙面位置（轴号）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单件一体化墙面面积（m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2d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各楼层内隔墙外表面总面积A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w3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2d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2d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w3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干式工法楼面、地面的面积及应用比例统计表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X栋 干式工法楼面、地面的面积及应用比例统计表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3286"/>
        <w:gridCol w:w="4055"/>
      </w:tblGrid>
      <w:tr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干式工法楼面、地面的面积及应用比例统计表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2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单体建筑内采用干式工法楼面、地面的面积（m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25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各楼层建筑平面总面积A（m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8.1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 集成厨房的面积及应用比例统计表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集成厨房、卫生间的面积及应用比例统计表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单体建筑内该类厨房数量（件）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该厨房单个面积（m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单体建筑内类厨房总面积（m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各楼层厨房的墙面、顶面和地面的总面积A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3c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c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c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k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8.2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 集成厨房详细统计表</w:t>
      </w:r>
    </w:p>
    <w:tbl>
      <w:tblPr>
        <w:tblStyle w:val="6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08"/>
        <w:gridCol w:w="1063"/>
        <w:gridCol w:w="1064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集成厨房评价分值表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（%）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9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 集成卫生间的面积及应用比例统计表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集成卫生间的面积及应用比例统计表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X-XX层共XX层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单体建筑内该类卫生间数量（件）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该卫生间单个面积（m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单体建筑内类卫生间总面积（m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各楼层卫生间的墙面、顶面和地面的总面积A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d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d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/A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b</w:t>
      </w:r>
      <w:r>
        <w:rPr>
          <w:rFonts w:ascii="Times New Roman" w:hAnsi="Times New Roman" w:eastAsia="仿宋" w:cs="Times New Roman"/>
          <w:bCs/>
          <w:sz w:val="28"/>
          <w:szCs w:val="28"/>
        </w:rPr>
        <w:t>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9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 集成卫生间详细统计表</w:t>
      </w: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08"/>
        <w:gridCol w:w="1063"/>
        <w:gridCol w:w="1064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集成卫生间评价分值表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（%）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管线分离比例计算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10.1 管线分离统计表</w:t>
      </w:r>
    </w:p>
    <w:tbl>
      <w:tblPr>
        <w:tblStyle w:val="6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08"/>
        <w:gridCol w:w="1063"/>
        <w:gridCol w:w="1064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X栋 管线分离评价分值表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（m）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L（m）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（%）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管线分离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q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e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=（</w:t>
      </w:r>
      <w:r>
        <w:rPr>
          <w:rFonts w:ascii="Times New Roman" w:hAnsi="Times New Roman" w:eastAsia="仿宋" w:cs="Times New Roman"/>
          <w:bCs/>
          <w:sz w:val="28"/>
          <w:szCs w:val="28"/>
        </w:rPr>
        <w:t>L</w:t>
      </w:r>
      <w:r>
        <w:rPr>
          <w:rFonts w:hint="default"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e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/</w:t>
      </w:r>
      <w:r>
        <w:rPr>
          <w:rFonts w:ascii="Times New Roman" w:hAnsi="Times New Roman" w:eastAsia="仿宋" w:cs="Times New Roman"/>
          <w:bCs/>
          <w:sz w:val="28"/>
          <w:szCs w:val="28"/>
        </w:rPr>
        <w:t>L×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100%）=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10.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 xml:space="preserve"> 管线分离B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IM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模型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05425" cy="39338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管线</w:t>
      </w:r>
      <w:r>
        <w:rPr>
          <w:rFonts w:ascii="Times New Roman" w:hAnsi="Times New Roman" w:eastAsia="仿宋" w:cs="Times New Roman"/>
          <w:sz w:val="22"/>
          <w:szCs w:val="28"/>
        </w:rPr>
        <w:t>分离</w:t>
      </w:r>
      <w:r>
        <w:rPr>
          <w:rFonts w:hint="default" w:ascii="Times New Roman" w:hAnsi="Times New Roman" w:eastAsia="仿宋" w:cs="Times New Roman"/>
          <w:sz w:val="22"/>
          <w:szCs w:val="28"/>
        </w:rPr>
        <w:t>B</w:t>
      </w:r>
      <w:r>
        <w:rPr>
          <w:rFonts w:ascii="Times New Roman" w:hAnsi="Times New Roman" w:eastAsia="仿宋" w:cs="Times New Roman"/>
          <w:sz w:val="22"/>
          <w:szCs w:val="28"/>
        </w:rPr>
        <w:t>IM模型</w:t>
      </w: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四、结论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根据《装配式建筑评价标准》（GB</w:t>
      </w:r>
      <w:r>
        <w:rPr>
          <w:rFonts w:ascii="Times New Roman" w:hAnsi="Times New Roman" w:eastAsia="仿宋" w:cs="Times New Roman"/>
          <w:sz w:val="28"/>
          <w:szCs w:val="28"/>
        </w:rPr>
        <w:t xml:space="preserve">/T </w:t>
      </w:r>
      <w:r>
        <w:rPr>
          <w:rFonts w:hint="default" w:ascii="Times New Roman" w:hAnsi="Times New Roman" w:eastAsia="仿宋" w:cs="Times New Roman"/>
          <w:sz w:val="28"/>
          <w:szCs w:val="28"/>
        </w:rPr>
        <w:t>51129</w:t>
      </w:r>
      <w:r>
        <w:rPr>
          <w:rFonts w:ascii="Times New Roman" w:hAnsi="Times New Roman" w:eastAsia="仿宋" w:cs="Times New Roman"/>
          <w:sz w:val="28"/>
          <w:szCs w:val="28"/>
        </w:rPr>
        <w:t>-201</w:t>
      </w:r>
      <w:r>
        <w:rPr>
          <w:rFonts w:hint="default" w:ascii="Times New Roman" w:hAnsi="Times New Roman" w:eastAsia="仿宋" w:cs="Times New Roman"/>
          <w:sz w:val="28"/>
          <w:szCs w:val="28"/>
        </w:rPr>
        <w:t>7），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惠州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>项目</w:t>
      </w:r>
      <w:r>
        <w:rPr>
          <w:rFonts w:hint="default"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栋及</w:t>
      </w:r>
      <w:r>
        <w:rPr>
          <w:rFonts w:hint="default"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装配率计算如下</w:t>
      </w:r>
      <w:r>
        <w:rPr>
          <w:rFonts w:hint="default" w:ascii="Times New Roman" w:hAnsi="Times New Roman" w:eastAsia="仿宋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（1）</w:t>
      </w:r>
      <w:r>
        <w:rPr>
          <w:rFonts w:hint="default"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P=（Q1+Q2+Q3）/（100-Q4）×100%</w:t>
      </w:r>
      <w:r>
        <w:rPr>
          <w:rFonts w:ascii="Times New Roman" w:hAnsi="Times New Roman" w:eastAsia="仿宋" w:cs="Times New Roman"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装配率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符合《装配式建筑评价</w:t>
      </w:r>
      <w:r>
        <w:rPr>
          <w:rFonts w:ascii="Times New Roman" w:hAnsi="Times New Roman" w:eastAsia="仿宋" w:cs="Times New Roman"/>
          <w:sz w:val="28"/>
          <w:szCs w:val="28"/>
        </w:rPr>
        <w:t>标准</w:t>
      </w:r>
      <w:r>
        <w:rPr>
          <w:rFonts w:hint="default" w:ascii="Times New Roman" w:hAnsi="Times New Roman" w:eastAsia="仿宋" w:cs="Times New Roman"/>
          <w:sz w:val="28"/>
          <w:szCs w:val="28"/>
        </w:rPr>
        <w:t>》装配率的要求。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（2）</w:t>
      </w:r>
      <w:r>
        <w:rPr>
          <w:rFonts w:hint="default"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P=（Q1+Q2+Q3）/（100-Q4）×100%</w:t>
      </w:r>
      <w:r>
        <w:rPr>
          <w:rFonts w:ascii="Times New Roman" w:hAnsi="Times New Roman" w:eastAsia="仿宋" w:cs="Times New Roman"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装配率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符合《装配式建筑评价</w:t>
      </w:r>
      <w:r>
        <w:rPr>
          <w:rFonts w:ascii="Times New Roman" w:hAnsi="Times New Roman" w:eastAsia="仿宋" w:cs="Times New Roman"/>
          <w:sz w:val="28"/>
          <w:szCs w:val="28"/>
        </w:rPr>
        <w:t>标准</w:t>
      </w:r>
      <w:r>
        <w:rPr>
          <w:rFonts w:hint="default" w:ascii="Times New Roman" w:hAnsi="Times New Roman" w:eastAsia="仿宋" w:cs="Times New Roman"/>
          <w:sz w:val="28"/>
          <w:szCs w:val="28"/>
        </w:rPr>
        <w:t>》装配率的要求。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附件：1-3-2：</w:t>
      </w: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  <w:lang w:eastAsia="zh-CN"/>
        </w:rPr>
        <w:t>惠州</w:t>
      </w: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</w:rPr>
        <w:t>市装配式建筑项目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napToGrid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snapToGrid w:val="0"/>
          <w:sz w:val="44"/>
          <w:szCs w:val="44"/>
        </w:rPr>
        <w:t>装配率计算书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napToGrid w:val="0"/>
          <w:sz w:val="28"/>
          <w:szCs w:val="28"/>
        </w:rPr>
        <w:t>（采用广东省标准计算参考格式）</w:t>
      </w:r>
    </w:p>
    <w:p>
      <w:pPr>
        <w:adjustRightInd w:val="0"/>
        <w:snapToGrid w:val="0"/>
        <w:rPr>
          <w:rFonts w:ascii="Times New Roman" w:hAnsi="Times New Roman" w:eastAsia="仿宋" w:cs="Times New Roman"/>
          <w:snapToGrid w:val="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</w:rPr>
      </w:pP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jc w:val="left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项目名称：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>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建设单位：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>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设计单位：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>________________________</w:t>
      </w:r>
    </w:p>
    <w:p>
      <w:pPr>
        <w:tabs>
          <w:tab w:val="left" w:pos="6300"/>
        </w:tabs>
        <w:adjustRightInd w:val="0"/>
        <w:snapToGrid w:val="0"/>
        <w:spacing w:line="480" w:lineRule="auto"/>
        <w:ind w:firstLine="1238" w:firstLineChars="387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日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期：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>________________________</w:t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44"/>
          <w:szCs w:val="44"/>
          <w:lang w:val="zh-CN"/>
        </w:rPr>
      </w:pP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设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计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       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校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对</w:t>
      </w:r>
      <w:r>
        <w:rPr>
          <w:rFonts w:ascii="Times New Roman" w:hAnsi="Times New Roman" w:eastAsia="仿宋" w:cs="Times New Roman"/>
          <w:snapToGrid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       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专业负责人：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        </w:t>
      </w:r>
    </w:p>
    <w:p>
      <w:pPr>
        <w:tabs>
          <w:tab w:val="left" w:pos="6300"/>
        </w:tabs>
        <w:adjustRightInd w:val="0"/>
        <w:snapToGrid w:val="0"/>
        <w:spacing w:line="360" w:lineRule="auto"/>
        <w:ind w:left="2100" w:leftChars="1000"/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专业审核人：</w:t>
      </w:r>
      <w:r>
        <w:rPr>
          <w:rFonts w:ascii="Times New Roman" w:hAnsi="Times New Roman" w:eastAsia="仿宋" w:cs="Times New Roman"/>
          <w:snapToGrid w:val="0"/>
          <w:sz w:val="32"/>
          <w:szCs w:val="32"/>
          <w:u w:val="single"/>
        </w:rPr>
        <w:t xml:space="preserve">            </w:t>
      </w:r>
    </w:p>
    <w:p>
      <w:pPr>
        <w:pStyle w:val="14"/>
        <w:adjustRightInd w:val="0"/>
        <w:snapToGrid w:val="0"/>
        <w:spacing w:before="0"/>
        <w:ind w:left="2100" w:leftChars="1000"/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</w:pP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</w:rPr>
        <w:t>专业审定人：</w:t>
      </w:r>
      <w:r>
        <w:rPr>
          <w:rFonts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" w:cs="Times New Roman"/>
          <w:b w:val="0"/>
          <w:bCs w:val="0"/>
          <w:snapToGrid w:val="0"/>
          <w:color w:val="auto"/>
          <w:kern w:val="2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  <w:br w:type="page"/>
      </w:r>
    </w:p>
    <w:p>
      <w:pPr>
        <w:pStyle w:val="14"/>
        <w:adjustRightInd w:val="0"/>
        <w:snapToGrid w:val="0"/>
        <w:spacing w:before="0"/>
        <w:jc w:val="center"/>
        <w:rPr>
          <w:rFonts w:ascii="Times New Roman" w:hAnsi="Times New Roman" w:eastAsia="仿宋" w:cs="Times New Roman"/>
          <w:color w:val="auto"/>
          <w:sz w:val="44"/>
          <w:szCs w:val="44"/>
          <w:lang w:val="zh-CN"/>
        </w:rPr>
      </w:pPr>
      <w:r>
        <w:rPr>
          <w:rFonts w:hint="default" w:ascii="Times New Roman" w:hAnsi="Times New Roman" w:eastAsia="仿宋" w:cs="Times New Roman"/>
          <w:color w:val="auto"/>
          <w:sz w:val="44"/>
          <w:szCs w:val="44"/>
          <w:lang w:val="zh-CN"/>
        </w:rPr>
        <w:t>目录</w:t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44"/>
          <w:szCs w:val="44"/>
          <w:lang w:val="zh-CN"/>
        </w:rPr>
      </w:pP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ascii="Times New Roman" w:hAnsi="Times New Roman" w:eastAsia="仿宋" w:cs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 w:eastAsia="仿宋" w:cs="Times New Roman"/>
          <w:sz w:val="32"/>
          <w:szCs w:val="32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"file:///F:\\微信文件\\WeChat%20Files\\salior123\\FileStorage\\File\\2020-03\\关于加强设计阶段落实装配式建筑实施要求的通知-3-4.doc" \l "_Toc436"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32"/>
        </w:rPr>
        <w:t>一、项目基本情况</w:t>
      </w:r>
      <w:r>
        <w:rPr>
          <w:rStyle w:val="8"/>
          <w:rFonts w:ascii="Times New Roman" w:hAnsi="Times New Roman" w:eastAsia="仿宋" w:cs="Times New Roman"/>
          <w:sz w:val="32"/>
        </w:rPr>
        <w:tab/>
      </w:r>
      <w:r>
        <w:rPr>
          <w:rStyle w:val="8"/>
          <w:rFonts w:ascii="Times New Roman" w:hAnsi="Times New Roman" w:eastAsia="仿宋" w:cs="Times New Roman"/>
          <w:sz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"file:///F:\\微信文件\\WeChat%20Files\\salior123\\FileStorage\\File\\2020-03\\关于加强设计阶段落实装配式建筑实施要求的通知-3-4.doc" \l "_Toc1200"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32"/>
        </w:rPr>
        <w:t>二、装配式建筑设计方案</w:t>
      </w:r>
      <w:r>
        <w:rPr>
          <w:rStyle w:val="8"/>
          <w:rFonts w:ascii="Times New Roman" w:hAnsi="Times New Roman" w:eastAsia="仿宋" w:cs="Times New Roman"/>
          <w:sz w:val="32"/>
        </w:rPr>
        <w:tab/>
      </w:r>
      <w:r>
        <w:rPr>
          <w:rStyle w:val="8"/>
          <w:rFonts w:ascii="Times New Roman" w:hAnsi="Times New Roman" w:eastAsia="仿宋" w:cs="Times New Roman"/>
          <w:sz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"file:///F:\\微信文件\\WeChat%20Files\\salior123\\FileStorage\\File\\2020-03\\关于加强设计阶段落实装配式建筑实施要求的通知-3-4.doc" \l "_Toc27346"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32"/>
        </w:rPr>
        <w:t>三、装配率的详细计算</w:t>
      </w:r>
      <w:r>
        <w:rPr>
          <w:rStyle w:val="8"/>
          <w:rFonts w:ascii="Times New Roman" w:hAnsi="Times New Roman" w:eastAsia="仿宋" w:cs="Times New Roman"/>
          <w:sz w:val="32"/>
        </w:rPr>
        <w:tab/>
      </w:r>
      <w:r>
        <w:rPr>
          <w:rStyle w:val="8"/>
          <w:rFonts w:ascii="Times New Roman" w:hAnsi="Times New Roman" w:eastAsia="仿宋" w:cs="Times New Roman"/>
          <w:sz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XX</w:t>
      </w:r>
    </w:p>
    <w:p>
      <w:pPr>
        <w:pStyle w:val="5"/>
        <w:tabs>
          <w:tab w:val="right" w:leader="dot" w:pos="8306"/>
        </w:tabs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"file:///F:\\微信文件\\WeChat%20Files\\salior123\\FileStorage\\File\\2020-03\\关于加强设计阶段落实装配式建筑实施要求的通知-3-4.doc" \l "_Toc31119"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32"/>
        </w:rPr>
        <w:t>四、结论</w:t>
      </w:r>
      <w:r>
        <w:rPr>
          <w:rStyle w:val="8"/>
          <w:rFonts w:ascii="Times New Roman" w:hAnsi="Times New Roman" w:eastAsia="仿宋" w:cs="Times New Roman"/>
          <w:sz w:val="32"/>
        </w:rPr>
        <w:tab/>
      </w:r>
      <w:r>
        <w:rPr>
          <w:rStyle w:val="8"/>
          <w:rFonts w:ascii="Times New Roman" w:hAnsi="Times New Roman" w:eastAsia="仿宋" w:cs="Times New Roman"/>
          <w:sz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XX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bCs/>
          <w:kern w:val="44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一、项目基本情况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项目位于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惠州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区，共有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栋塔楼，其中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栋实施装配式建筑，装配式建筑总建筑面积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平方米。</w:t>
      </w:r>
    </w:p>
    <w:p>
      <w:pPr>
        <w:adjustRightInd w:val="0"/>
        <w:snapToGrid w:val="0"/>
        <w:spacing w:line="520" w:lineRule="exact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其中：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栋塔楼建筑高度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米，单体建筑面积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平方米；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栋塔楼建筑高度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米，单体建筑面积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</w:rPr>
        <w:t>平方米。</w:t>
      </w:r>
    </w:p>
    <w:p>
      <w:pPr>
        <w:adjustRightInd w:val="0"/>
        <w:snapToGrid w:val="0"/>
        <w:spacing w:line="520" w:lineRule="exact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项目总平面效果图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（项目总平面效果图对实施装配式建筑范围图示）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二、装配式建筑设计方案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（一）本项目装配率实施情况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本项目装配率为（按</w:t>
      </w:r>
      <w:r>
        <w:rPr>
          <w:rFonts w:ascii="Times New Roman" w:hAnsi="Times New Roman" w:eastAsia="仿宋" w:cs="Times New Roman"/>
          <w:bCs/>
          <w:sz w:val="28"/>
          <w:szCs w:val="28"/>
        </w:rPr>
        <w:t>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分开</w:t>
      </w:r>
      <w:r>
        <w:rPr>
          <w:rFonts w:ascii="Times New Roman" w:hAnsi="Times New Roman" w:eastAsia="仿宋" w:cs="Times New Roman"/>
          <w:bCs/>
          <w:sz w:val="28"/>
          <w:szCs w:val="28"/>
        </w:rPr>
        <w:t>填写）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：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其中，</w:t>
      </w: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主体结构得分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围护墙和内隔墙得分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      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装修和设备管线得分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细化项得分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6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鼓励项得分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840" w:firstLineChars="30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装配率不低于</w:t>
      </w:r>
      <w:r>
        <w:rPr>
          <w:rFonts w:ascii="Times New Roman" w:hAnsi="Times New Roman" w:eastAsia="仿宋" w:cs="Times New Roman"/>
          <w:bCs/>
          <w:sz w:val="28"/>
          <w:szCs w:val="28"/>
        </w:rPr>
        <w:t>50%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（二）装配式建筑评分表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1.1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三维模型图（带装配式说明）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</w:rPr>
        <w:drawing>
          <wp:inline distT="0" distB="0" distL="0" distR="0">
            <wp:extent cx="1000125" cy="2886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7" name="图片 7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栋装配式建筑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模型及图例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1.2 X</w:t>
      </w:r>
      <w:r>
        <w:rPr>
          <w:rFonts w:hint="default" w:ascii="Times New Roman" w:hAnsi="Times New Roman" w:eastAsia="仿宋" w:cs="Times New Roman"/>
          <w:sz w:val="28"/>
          <w:szCs w:val="28"/>
        </w:rPr>
        <w:t>栋装配式建筑评分表：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04"/>
        <w:gridCol w:w="1318"/>
        <w:gridCol w:w="1598"/>
        <w:gridCol w:w="1570"/>
        <w:gridCol w:w="932"/>
        <w:gridCol w:w="666"/>
        <w:gridCol w:w="827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评价分值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最低分值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实际应用比例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实际分值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：主体结构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50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1a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柱、支撑、承重墙、延性墙板等竖向构件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35%≤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20~30*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1b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梁、板、楼梯、阳台、空调板等构件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70%≤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10~20*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：围护墙和内隔墙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2a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非承重围护墙非砌筑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≥80%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2b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围护墙与保温、隔热、装饰集成一体化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2~5*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2c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内隔墙非砌筑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≥50%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2d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内隔墙与管线、装修集成一体化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2~5*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：装修和设备管线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30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全装修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3b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干式工法楼面、地面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≥70%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3c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集成厨房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70%≤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≤90%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3~6*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3d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集成卫生间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70%≤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≤90%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3~6*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3e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管线分离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≤70%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4~6*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：细化项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22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分）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  <w:highlight w:val="lightGray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主体结构竖向构件细化项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5%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≤比例</w:t>
            </w:r>
            <w:r>
              <w:rPr>
                <w:rFonts w:ascii="Times New Roman" w:hAnsi="Times New Roman" w:eastAsia="仿宋" w:cs="Times New Roman"/>
                <w:szCs w:val="21"/>
              </w:rPr>
              <w:t>&lt;35%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7~10*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51b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预制外墙板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5%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≤比例≤</w:t>
            </w:r>
            <w:r>
              <w:rPr>
                <w:rFonts w:ascii="Times New Roman" w:hAnsi="Times New Roman" w:eastAsia="仿宋" w:cs="Times New Roman"/>
                <w:szCs w:val="21"/>
              </w:rPr>
              <w:t>15%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7~10*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围护墙和内隔墙细化项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bookmarkStart w:id="2" w:name="_Hlk16091435"/>
            <w:r>
              <w:rPr>
                <w:rFonts w:hint="default" w:ascii="Times New Roman" w:hAnsi="Times New Roman" w:eastAsia="仿宋" w:cs="Times New Roman"/>
                <w:szCs w:val="21"/>
              </w:rPr>
              <w:t>围护墙与保温、隔热集成一体化</w:t>
            </w:r>
            <w:bookmarkEnd w:id="2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1~2.5*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bookmarkStart w:id="3" w:name="_Hlk16091445"/>
            <w:r>
              <w:rPr>
                <w:rFonts w:hint="default" w:ascii="Times New Roman" w:hAnsi="Times New Roman" w:eastAsia="仿宋" w:cs="Times New Roman"/>
                <w:szCs w:val="21"/>
              </w:rPr>
              <w:t>内隔墙与管线集成一体化</w:t>
            </w:r>
            <w:bookmarkEnd w:id="3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</w:t>
            </w:r>
            <w:r>
              <w:rPr>
                <w:rFonts w:ascii="Times New Roman" w:hAnsi="Times New Roman" w:eastAsia="仿宋" w:cs="Times New Roman"/>
                <w:szCs w:val="21"/>
              </w:rPr>
              <w:t>≤80%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1~2.5*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装修和设备管线细化项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干式工法楼面、地面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比例＜</w:t>
            </w:r>
            <w:r>
              <w:rPr>
                <w:rFonts w:ascii="Times New Roman" w:hAnsi="Times New Roman" w:eastAsia="仿宋" w:cs="Times New Roman"/>
                <w:szCs w:val="21"/>
              </w:rPr>
              <w:t>70%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1~2*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集成厨房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比例＜</w:t>
            </w:r>
            <w:r>
              <w:rPr>
                <w:rFonts w:ascii="Times New Roman" w:hAnsi="Times New Roman" w:eastAsia="仿宋" w:cs="Times New Roman"/>
                <w:szCs w:val="21"/>
              </w:rPr>
              <w:t>70%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1~1.5*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集成卫生间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比例＜</w:t>
            </w:r>
            <w:r>
              <w:rPr>
                <w:rFonts w:ascii="Times New Roman" w:hAnsi="Times New Roman" w:eastAsia="仿宋" w:cs="Times New Roman"/>
                <w:szCs w:val="21"/>
              </w:rPr>
              <w:t>70%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1~1.5*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管线分离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30%≤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比例＜</w:t>
            </w:r>
            <w:r>
              <w:rPr>
                <w:rFonts w:ascii="Times New Roman" w:hAnsi="Times New Roman" w:eastAsia="仿宋" w:cs="Times New Roman"/>
                <w:szCs w:val="21"/>
              </w:rPr>
              <w:t>50%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1~2*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6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：鼓励项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分）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标准化设计鼓励项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平面布置标准化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预制构件与部品标准化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节点标准化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绿色与信息化应用鼓励项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绿色建筑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取得绿色建筑评价</w:t>
            </w: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取得绿色建筑评价</w:t>
            </w: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取得绿色建筑评价</w:t>
            </w: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BIM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jc w:val="both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满足运营、维护阶段应用要求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智能化应用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szCs w:val="21"/>
                <w:vertAlign w:val="subscript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施工与管理鼓励项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绿色施工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绿色施工评价为合格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绿色施工评价为优良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工程总承包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一家单位</w:t>
            </w:r>
            <w:r>
              <w:rPr>
                <w:rFonts w:ascii="Times New Roman" w:hAnsi="Times New Roman" w:eastAsia="仿宋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联合体单位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2.1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三维模型图（带装配式说明）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</w:t>
      </w: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栋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三维模型图）</w:t>
      </w:r>
    </w:p>
    <w:p>
      <w:pPr>
        <w:adjustRightInd w:val="0"/>
        <w:snapToGrid w:val="0"/>
        <w:spacing w:after="240"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2.2 X</w:t>
      </w:r>
      <w:r>
        <w:rPr>
          <w:rFonts w:hint="default" w:ascii="Times New Roman" w:hAnsi="Times New Roman" w:eastAsia="仿宋" w:cs="Times New Roman"/>
          <w:sz w:val="28"/>
          <w:szCs w:val="28"/>
        </w:rPr>
        <w:t>栋装配式建筑评分表：</w:t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（</w:t>
      </w: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栋装配式建筑评分表）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（三）本项目主体结构采用预制部品部件种类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3.1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栋主体结构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（如：预制剪力墙、预制柱、预制楼板、预制阳台、预制楼梯段、预制梁、预制空调板等）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3.2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栋主体结构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（如：预制剪力墙、预制柱、预制楼板、预制阳台、预制楼梯段、预制梁、预制空调板等）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（四）本项目围护墙和内隔墙采用预制部品部件种类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4.1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栋围护墙和内隔墙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（如：预制外墙板、轻质内隔墙等）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4.2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栋围护墙和内隔墙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采用预制部品部件种类有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（如：预制外墙板、轻质内隔墙等）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（五）本项目装修与设备管线采用的措施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5.1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采用装修与设备管线的措施是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</w:t>
      </w:r>
      <w:r>
        <w:rPr>
          <w:rFonts w:ascii="Times New Roman" w:hAnsi="Times New Roman" w:eastAsia="仿宋" w:cs="Times New Roman"/>
          <w:bCs/>
          <w:sz w:val="28"/>
          <w:szCs w:val="28"/>
        </w:rPr>
        <w:t>: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全装修、干式工法楼面地面、集成厨房、集成卫生间、管线分离）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5.2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采用装修与设备管线的措施是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</w:t>
      </w:r>
      <w:r>
        <w:rPr>
          <w:rFonts w:ascii="Times New Roman" w:hAnsi="Times New Roman" w:eastAsia="仿宋" w:cs="Times New Roman"/>
          <w:bCs/>
          <w:sz w:val="28"/>
          <w:szCs w:val="28"/>
        </w:rPr>
        <w:t>: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全装修、干式工法楼地面、集成厨房、集成卫生间、管线分离）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（六）本项目采用鼓励项的措施</w:t>
      </w:r>
    </w:p>
    <w:p>
      <w:pPr>
        <w:adjustRightInd w:val="0"/>
        <w:snapToGrid w:val="0"/>
        <w:spacing w:line="520" w:lineRule="exact"/>
        <w:ind w:left="-105" w:leftChars="-5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本项目采用鼓励项的措施是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，共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种。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（如</w:t>
      </w:r>
      <w:r>
        <w:rPr>
          <w:rFonts w:ascii="Times New Roman" w:hAnsi="Times New Roman" w:eastAsia="仿宋" w:cs="Times New Roman"/>
          <w:bCs/>
          <w:sz w:val="28"/>
          <w:szCs w:val="28"/>
        </w:rPr>
        <w:t>: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标准化设计、绿色与信息化应用、施工与管理）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（七）本项目代表性楼层预制部品部件分布图</w:t>
      </w:r>
      <w:r>
        <w:rPr>
          <w:rFonts w:ascii="Times New Roman" w:hAnsi="Times New Roman" w:eastAsia="仿宋" w:cs="Times New Roman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（代表性楼层预制部品部件分布不同，每种分布均应有分布图及</w:t>
      </w:r>
      <w:r>
        <w:rPr>
          <w:rFonts w:ascii="Times New Roman" w:hAnsi="Times New Roman" w:eastAsia="仿宋" w:cs="Times New Roman"/>
          <w:bCs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模型布置图。分布图及</w:t>
      </w:r>
      <w:r>
        <w:rPr>
          <w:rFonts w:ascii="Times New Roman" w:hAnsi="Times New Roman" w:eastAsia="仿宋" w:cs="Times New Roman"/>
          <w:bCs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模型布置图应含有部品部件编号、配重图以及图例）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7.1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层预制部品部件分布图：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......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7.2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层预制部品部件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模型布置图：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295775" cy="3600450"/>
            <wp:effectExtent l="0" t="0" r="9525" b="0"/>
            <wp:docPr id="6" name="图片 6" descr="商住楼标准层三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商住楼标准层三维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7" t="5130" r="22552" b="1794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17" name="图片 17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栋</w:t>
      </w: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层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模型三维图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181475" cy="3600450"/>
            <wp:effectExtent l="0" t="0" r="9525" b="0"/>
            <wp:docPr id="18" name="图片 18" descr="商住楼标准层平面图1（无图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商住楼标准层平面图1（无图框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r="906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876300" cy="2162175"/>
            <wp:effectExtent l="0" t="0" r="0" b="9525"/>
            <wp:docPr id="19" name="图片 19" descr="商住楼标准层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商住楼标准层图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967" r="41553" b="375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栋</w:t>
      </w:r>
      <w:r>
        <w:rPr>
          <w:rFonts w:ascii="Times New Roman" w:hAnsi="Times New Roman" w:eastAsia="仿宋" w:cs="Times New Roman"/>
          <w:sz w:val="22"/>
          <w:szCs w:val="28"/>
        </w:rPr>
        <w:t>X</w:t>
      </w:r>
      <w:r>
        <w:rPr>
          <w:rFonts w:hint="default" w:ascii="Times New Roman" w:hAnsi="Times New Roman" w:eastAsia="仿宋" w:cs="Times New Roman"/>
          <w:sz w:val="22"/>
          <w:szCs w:val="28"/>
        </w:rPr>
        <w:t>层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模型平面布置图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7.3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X-XX</w:t>
      </w:r>
      <w:r>
        <w:rPr>
          <w:rFonts w:hint="default" w:ascii="Times New Roman" w:hAnsi="Times New Roman" w:eastAsia="仿宋" w:cs="Times New Roman"/>
          <w:sz w:val="28"/>
          <w:szCs w:val="28"/>
        </w:rPr>
        <w:t>层预制部品部件分布图：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......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7.4 X</w:t>
      </w:r>
      <w:r>
        <w:rPr>
          <w:rFonts w:hint="default" w:ascii="Times New Roman" w:hAnsi="Times New Roman" w:eastAsia="仿宋" w:cs="Times New Roman"/>
          <w:sz w:val="28"/>
          <w:szCs w:val="28"/>
        </w:rPr>
        <w:t>栋</w:t>
      </w:r>
      <w:r>
        <w:rPr>
          <w:rFonts w:ascii="Times New Roman" w:hAnsi="Times New Roman" w:eastAsia="仿宋" w:cs="Times New Roman"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层预制部品部件</w:t>
      </w:r>
      <w:r>
        <w:rPr>
          <w:rFonts w:ascii="Times New Roman" w:hAnsi="Times New Roman" w:eastAsia="仿宋" w:cs="Times New Roman"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sz w:val="28"/>
          <w:szCs w:val="28"/>
        </w:rPr>
        <w:t>模型布置图：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......</w:t>
      </w:r>
    </w:p>
    <w:p>
      <w:pPr>
        <w:rPr>
          <w:rFonts w:ascii="Times New Roman" w:hAnsi="Times New Roman" w:eastAsia="仿宋" w:cs="Times New Roman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二、标准层装配率计算依据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）装配率计算依据：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>按照广东省《装配式建筑评价标准》关于装配率计算的相关办法。</w:t>
      </w:r>
    </w:p>
    <w:p>
      <w:pPr>
        <w:rPr>
          <w:rFonts w:ascii="Times New Roman" w:hAnsi="Times New Roman" w:eastAsia="仿宋" w:cs="Times New Roman"/>
        </w:rPr>
      </w:pPr>
    </w:p>
    <w:p>
      <w:pPr>
        <w:rPr>
          <w:rFonts w:ascii="Times New Roman" w:hAnsi="Times New Roman" w:eastAsia="仿宋" w:cs="Times New Roman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三、装配率的详细计算</w:t>
      </w:r>
    </w:p>
    <w:p>
      <w:pPr>
        <w:keepNext/>
        <w:keepLines/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（注：装配率应分楼栋进行统计，预制部品部件应注明类别并分类统计）。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主体结构竖向构件的体积及应用比例统计表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1.1 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主体结构预制部品部件的体积统计表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09"/>
        <w:gridCol w:w="2616"/>
        <w:gridCol w:w="2103"/>
        <w:gridCol w:w="2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主体结构预制部品部件的体积统计表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层，共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预制部品部件类型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单体建筑内该预制部品部件数量（件）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单件预制部品部件体积（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单体建筑内该预制部品部件总体积（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V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bscript"/>
              </w:rPr>
              <w:t>1a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4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柱、支撑、承重墙、延性墙板等主体结构竖向构件混凝土总体积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V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1a</w:t>
      </w:r>
      <w:r>
        <w:rPr>
          <w:rFonts w:ascii="Times New Roman" w:hAnsi="Times New Roman" w:eastAsia="仿宋" w:cs="Times New Roman"/>
          <w:bCs/>
          <w:sz w:val="28"/>
          <w:szCs w:val="28"/>
        </w:rPr>
        <w:t>=V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1a</w:t>
      </w:r>
      <w:r>
        <w:rPr>
          <w:rFonts w:ascii="Times New Roman" w:hAnsi="Times New Roman" w:eastAsia="仿宋" w:cs="Times New Roman"/>
          <w:bCs/>
          <w:sz w:val="28"/>
          <w:szCs w:val="28"/>
        </w:rPr>
        <w:t>/V×100%=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1.2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主体结构预制部品部件体积详细统计表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59"/>
        <w:gridCol w:w="1159"/>
        <w:gridCol w:w="1159"/>
        <w:gridCol w:w="879"/>
        <w:gridCol w:w="879"/>
        <w:gridCol w:w="1655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主体结构预制部品部件体积统计表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预制部品部件编号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厚度（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洞口面积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预制部品部件体积（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预制部分重量（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t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主体结构的梁、板、楼梯、阳台、空调板等预制部品部件面积及应用比例统计表</w:t>
      </w:r>
    </w:p>
    <w:p>
      <w:pPr>
        <w:widowControl/>
        <w:adjustRightInd w:val="0"/>
        <w:snapToGrid w:val="0"/>
        <w:spacing w:line="520" w:lineRule="exact"/>
        <w:jc w:val="lef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2.1 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主体结构的梁、板、楼梯、阳台、空调板等预制部品部件面积及应用比例统计表</w:t>
      </w:r>
    </w:p>
    <w:tbl>
      <w:tblPr>
        <w:tblStyle w:val="6"/>
        <w:tblW w:w="82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577"/>
        <w:gridCol w:w="3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主体结构的梁、板、楼梯、阳台、空调板等预制部品部件面积及应用比例统计表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层，共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层数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本层建筑内该预制部品部件总面积（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bscript"/>
              </w:rPr>
              <w:t>1b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各楼层建筑平面总面积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1b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1b</w:t>
      </w:r>
      <w:r>
        <w:rPr>
          <w:rFonts w:ascii="Times New Roman" w:hAnsi="Times New Roman" w:eastAsia="仿宋" w:cs="Times New Roman"/>
          <w:bCs/>
          <w:sz w:val="28"/>
          <w:szCs w:val="28"/>
        </w:rPr>
        <w:t>/A×100%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非承重围护墙非砌筑外表面积及应用比例统计表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3.1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非承重围护墙非砌筑外表面积及应用比例统计表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376"/>
        <w:gridCol w:w="2399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非承重围护墙非砌筑外表面积及应用比例统计表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预制部品部件类型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单件预制部品部件面积（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各楼层非承重围护墙外表面总面积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bscript"/>
              </w:rPr>
              <w:t>w1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2a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2a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w1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3.2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栋非承重围护墙非砌筑表面积详细统计表</w:t>
      </w:r>
    </w:p>
    <w:tbl>
      <w:tblPr>
        <w:tblStyle w:val="6"/>
        <w:tblW w:w="832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6"/>
        <w:gridCol w:w="1020"/>
        <w:gridCol w:w="1105"/>
        <w:gridCol w:w="12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围护墙评价分值表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w1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围护墙评价分值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围护墙采用墙体、保温、隔热、装饰一体化面积及应用比例统计表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807"/>
        <w:gridCol w:w="2623"/>
        <w:gridCol w:w="2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围护墙采用墙体、保温、隔热、装饰一体化面积及应用比例统计表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单体建筑内该围护墙数量（片）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单片一体化墙面面积（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各楼层围护墙外表面总面积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2b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2b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w2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内隔墙非砌筑外表面积及应用比例统计表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5.1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栋内隔墙非砌筑外表面积及应用比例统计表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783"/>
        <w:gridCol w:w="4708"/>
      </w:tblGrid>
      <w:tr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内隔墙非砌筑外表面积及应用比例统计表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单片预制部品部件面积（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单体建筑内该预制部品部件总面积（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2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各楼层内隔墙外表面总面积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2c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2c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w3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5.2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栋非承重围护墙非砌筑表面积详细统计表</w:t>
      </w:r>
    </w:p>
    <w:tbl>
      <w:tblPr>
        <w:tblStyle w:val="6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44"/>
        <w:gridCol w:w="1159"/>
        <w:gridCol w:w="1159"/>
        <w:gridCol w:w="1389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栋内隔墙非砌筑外表面积及应用比例统计表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编号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内隔墙评价分值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16"/>
        <w:numPr>
          <w:ilvl w:val="0"/>
          <w:numId w:val="2"/>
        </w:numPr>
        <w:adjustRightInd w:val="0"/>
        <w:snapToGrid w:val="0"/>
        <w:spacing w:line="520" w:lineRule="exact"/>
        <w:ind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内隔墙与管线、装修一体化面积及应用比例统计表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6.1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栋内隔墙与管线、装修一体化面积及应用比例统计表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221"/>
        <w:gridCol w:w="2243"/>
        <w:gridCol w:w="3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内隔墙与管线、装修一体化面积及应用比例统计表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采用一体化的墙面位置（轴号）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单件一体化墙面面积（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各楼层内隔墙外表面总面积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2d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2d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w3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干式工法楼面、地面的面积及应用比例统计表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干式工法楼面、地面的面积及应用比例统计表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588"/>
        <w:gridCol w:w="4427"/>
      </w:tblGrid>
      <w:tr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干式工法楼面、地面的面积及应用比例统计表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2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单体建筑内采用干式工法楼面、地面的面积（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各楼层建筑平面总面积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ascii="Times New Roman" w:hAnsi="Times New Roman" w:eastAsia="仿宋" w:cs="Times New Roman"/>
          <w:bCs/>
          <w:sz w:val="28"/>
          <w:szCs w:val="28"/>
        </w:rPr>
        <w:t>/A×100%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8.1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集成厨房、卫生间的面积及应用比例统计表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单体建筑内该类厨房数量（件）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该厨房单个面积（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单体建筑内类厨房总面积（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各楼层厨房的墙面、顶面和地面的总面积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3cc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3c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k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8.2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集成厨房详细统计表</w:t>
      </w:r>
    </w:p>
    <w:tbl>
      <w:tblPr>
        <w:tblStyle w:val="6"/>
        <w:tblW w:w="85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9"/>
        <w:gridCol w:w="708"/>
        <w:gridCol w:w="1063"/>
        <w:gridCol w:w="1064"/>
        <w:gridCol w:w="12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9.1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单体建筑内该类卫生间数量（件）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该卫生间单个面积（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单体建筑内类卫生间总面积（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各楼层卫生间的墙面、顶面和地面的总面积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3d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3d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b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9.3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集成卫生间详细统计表</w:t>
      </w: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08"/>
        <w:gridCol w:w="1063"/>
        <w:gridCol w:w="1064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管线分离比例计算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10.1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管线分离统计表</w:t>
      </w:r>
    </w:p>
    <w:tbl>
      <w:tblPr>
        <w:tblStyle w:val="6"/>
        <w:tblW w:w="85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9"/>
        <w:gridCol w:w="708"/>
        <w:gridCol w:w="1063"/>
        <w:gridCol w:w="1064"/>
        <w:gridCol w:w="12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管线分离评价分值表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L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管线分离评价分值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3e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L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3e</w:t>
      </w:r>
      <w:r>
        <w:rPr>
          <w:rFonts w:ascii="Times New Roman" w:hAnsi="Times New Roman" w:eastAsia="仿宋" w:cs="Times New Roman"/>
          <w:bCs/>
          <w:sz w:val="28"/>
          <w:szCs w:val="28"/>
        </w:rPr>
        <w:t>/L×100%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10.2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模型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05425" cy="393382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管线分离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细分项采用情况（可仅表示采用细化项中的应用的部分内容）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主体结构竖向构件的体积及应用比例统计表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主体结构预制部品部件的体积统计表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09"/>
        <w:gridCol w:w="2616"/>
        <w:gridCol w:w="2103"/>
        <w:gridCol w:w="2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主体结构预制部品部件的体积统计表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层，共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预制部品部件类型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单体建筑内该预制部品部件数量（件）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单件预制部品部件体积（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单体建筑内该预制部品部件总体积（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合计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Cs w:val="28"/>
              </w:rPr>
              <w:t>V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bscript"/>
              </w:rPr>
              <w:t>1a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4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柱、支撑、承重墙、延性墙板等主体结构竖向构件混凝土总体积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V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8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8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）</w:t>
            </w:r>
          </w:p>
        </w:tc>
        <w:tc>
          <w:tcPr>
            <w:tcW w:w="15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1a</w:t>
      </w:r>
      <w:r>
        <w:rPr>
          <w:rFonts w:ascii="Times New Roman" w:hAnsi="Times New Roman" w:eastAsia="仿宋" w:cs="Times New Roman"/>
          <w:bCs/>
          <w:sz w:val="28"/>
          <w:szCs w:val="28"/>
        </w:rPr>
        <w:t>=V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1a</w:t>
      </w:r>
      <w:r>
        <w:rPr>
          <w:rFonts w:ascii="Times New Roman" w:hAnsi="Times New Roman" w:eastAsia="仿宋" w:cs="Times New Roman"/>
          <w:bCs/>
          <w:sz w:val="28"/>
          <w:szCs w:val="28"/>
        </w:rPr>
        <w:t>/V×100%=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主体结构预制部品部件体积详细统计表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59"/>
        <w:gridCol w:w="1159"/>
        <w:gridCol w:w="1159"/>
        <w:gridCol w:w="879"/>
        <w:gridCol w:w="879"/>
        <w:gridCol w:w="1655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主体结构预制部品部件体积统计表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预制部品部件编号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厚度（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洞口面积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预制部品部件体积（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预制部分重量（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t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预制外墙板的应用比例统计表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预制外墙板的体积详细统计表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166"/>
        <w:gridCol w:w="1166"/>
        <w:gridCol w:w="1166"/>
        <w:gridCol w:w="886"/>
        <w:gridCol w:w="886"/>
        <w:gridCol w:w="1680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主体结构预制部品部件体积统计表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预制外墙板编号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厚度（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洞口面积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预制部品部件体积（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预制部分重量（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t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长度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高度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(mm)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　</w:t>
            </w: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51b</w:t>
      </w:r>
      <w:r>
        <w:rPr>
          <w:rFonts w:ascii="Times New Roman" w:hAnsi="Times New Roman" w:eastAsia="仿宋" w:cs="Times New Roman"/>
          <w:bCs/>
          <w:sz w:val="28"/>
          <w:szCs w:val="28"/>
        </w:rPr>
        <w:t>=V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</w:t>
      </w:r>
      <w:r>
        <w:rPr>
          <w:rFonts w:ascii="Times New Roman" w:hAnsi="Times New Roman" w:eastAsia="仿宋" w:cs="Times New Roman"/>
          <w:bCs/>
          <w:sz w:val="28"/>
          <w:szCs w:val="28"/>
        </w:rPr>
        <w:t>/V+V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11.3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围护墙采用墙体、保温、隔热集成一体化面积及应用比例统计表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807"/>
        <w:gridCol w:w="2623"/>
        <w:gridCol w:w="2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围护墙采用墙体、保温、隔热集成一体化面积及应用比例统计表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单体建筑内该围护墙数量（片）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单片一体化墙面面积（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各楼层围护墙外表面总面积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52a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52a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w2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pStyle w:val="16"/>
        <w:adjustRightInd w:val="0"/>
        <w:snapToGrid w:val="0"/>
        <w:spacing w:line="520" w:lineRule="exact"/>
        <w:ind w:firstLine="0"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11.4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内隔墙与管线集成一体化面积及应用比例统计表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栋内隔墙与管线集成一体化面积及应用比例统计表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221"/>
        <w:gridCol w:w="2243"/>
        <w:gridCol w:w="3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内隔墙与管线集成一体化面积及应用比例统计表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采用一体化的墙面位置（轴号）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单件一体化墙面面积（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单体建筑内该一体化墙面总面积（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2d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各楼层内隔墙外表面总面积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w3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52b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52b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w3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11.5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干式工法楼面、地面的面积及应用比例统计表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干式工法楼面、地面的面积及应用比例统计表</w:t>
      </w:r>
    </w:p>
    <w:tbl>
      <w:tblPr>
        <w:tblStyle w:val="6"/>
        <w:tblW w:w="5000" w:type="pct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588"/>
        <w:gridCol w:w="4427"/>
      </w:tblGrid>
      <w:tr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干式工法楼面、地面的面积及应用比例统计表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2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单体建筑内采用干式工法楼面、地面的面积（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各楼层建筑平面总面积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3a</w:t>
      </w:r>
      <w:r>
        <w:rPr>
          <w:rFonts w:ascii="Times New Roman" w:hAnsi="Times New Roman" w:eastAsia="仿宋" w:cs="Times New Roman"/>
          <w:bCs/>
          <w:sz w:val="28"/>
          <w:szCs w:val="28"/>
        </w:rPr>
        <w:t>/A×100%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11.6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集成厨房、卫生间的面积及应用比例统计表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单体建筑内该类厨房数量（件）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该厨房单个面积（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单体建筑内类厨房总面积（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各楼层厨房的墙面、顶面和地面的总面积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3cc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3c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k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集成厨房详细统计表</w:t>
      </w:r>
    </w:p>
    <w:tbl>
      <w:tblPr>
        <w:tblStyle w:val="6"/>
        <w:tblW w:w="85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9"/>
        <w:gridCol w:w="708"/>
        <w:gridCol w:w="1063"/>
        <w:gridCol w:w="1064"/>
        <w:gridCol w:w="12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k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集成厨房评价分值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11.7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集成卫生间的面积及应用比例统计表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集成卫生间的面积及应用比例统计表</w:t>
      </w:r>
    </w:p>
    <w:tbl>
      <w:tblPr>
        <w:tblStyle w:val="6"/>
        <w:tblW w:w="7995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465"/>
        <w:gridCol w:w="1410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集成卫生间的面积及应用比例统计表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X-XX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层共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XX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单体建筑内该类卫生间数量（件）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该卫生间单个面积（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单体建筑内类卫生间总面积（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3c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各楼层卫生间的墙面、顶面和地面的总面积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3d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3d</w:t>
      </w:r>
      <w:r>
        <w:rPr>
          <w:rFonts w:ascii="Times New Roman" w:hAnsi="Times New Roman" w:eastAsia="仿宋" w:cs="Times New Roman"/>
          <w:bCs/>
          <w:sz w:val="28"/>
          <w:szCs w:val="28"/>
        </w:rPr>
        <w:t>/A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b</w:t>
      </w:r>
      <w:r>
        <w:rPr>
          <w:rFonts w:ascii="Times New Roman" w:hAnsi="Times New Roman" w:eastAsia="仿宋" w:cs="Times New Roman"/>
          <w:bCs/>
          <w:sz w:val="28"/>
          <w:szCs w:val="28"/>
        </w:rPr>
        <w:t>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X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栋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集成卫生间详细统计表</w:t>
      </w: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08"/>
        <w:gridCol w:w="1063"/>
        <w:gridCol w:w="1064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b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3d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集成卫生间评价分值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11.8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管线分离比例计算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管线分离统计表</w:t>
      </w:r>
    </w:p>
    <w:tbl>
      <w:tblPr>
        <w:tblStyle w:val="6"/>
        <w:tblW w:w="85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9"/>
        <w:gridCol w:w="708"/>
        <w:gridCol w:w="1063"/>
        <w:gridCol w:w="1064"/>
        <w:gridCol w:w="12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X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栋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管线分离评价分值表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层数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L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m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q</w:t>
            </w:r>
            <w:r>
              <w:rPr>
                <w:rFonts w:ascii="Times New Roman" w:hAnsi="Times New Roman" w:eastAsia="仿宋" w:cs="Times New Roman"/>
                <w:bCs/>
                <w:szCs w:val="21"/>
                <w:vertAlign w:val="subscript"/>
              </w:rPr>
              <w:t>3e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%</w:t>
            </w: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管线分离评价分值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240" w:after="240" w:line="520" w:lineRule="exact"/>
        <w:textAlignment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q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3e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（</w:t>
      </w:r>
      <w:r>
        <w:rPr>
          <w:rFonts w:ascii="Times New Roman" w:hAnsi="Times New Roman" w:eastAsia="仿宋" w:cs="Times New Roman"/>
          <w:bCs/>
          <w:sz w:val="28"/>
          <w:szCs w:val="28"/>
        </w:rPr>
        <w:t>L</w:t>
      </w:r>
      <w:r>
        <w:rPr>
          <w:rFonts w:ascii="Times New Roman" w:hAnsi="Times New Roman" w:eastAsia="仿宋" w:cs="Times New Roman"/>
          <w:bCs/>
          <w:sz w:val="28"/>
          <w:szCs w:val="28"/>
          <w:vertAlign w:val="subscript"/>
        </w:rPr>
        <w:t>3e</w:t>
      </w:r>
      <w:r>
        <w:rPr>
          <w:rFonts w:ascii="Times New Roman" w:hAnsi="Times New Roman" w:eastAsia="仿宋" w:cs="Times New Roman"/>
          <w:bCs/>
          <w:sz w:val="28"/>
          <w:szCs w:val="28"/>
        </w:rPr>
        <w:t>/L×100%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）</w:t>
      </w:r>
      <w:r>
        <w:rPr>
          <w:rFonts w:ascii="Times New Roman" w:hAnsi="Times New Roman" w:eastAsia="仿宋" w:cs="Times New Roman"/>
          <w:bCs/>
          <w:sz w:val="28"/>
          <w:szCs w:val="28"/>
        </w:rPr>
        <w:t>=</w:t>
      </w:r>
      <w:r>
        <w:rPr>
          <w:rFonts w:ascii="Times New Roman" w:hAnsi="Times New Roman" w:eastAsia="仿宋" w:cs="Times New Roman"/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管线分离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BIM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模型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05425" cy="39338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  <w:r>
        <w:rPr>
          <w:rFonts w:hint="default" w:ascii="Times New Roman" w:hAnsi="Times New Roman" w:eastAsia="仿宋" w:cs="Times New Roman"/>
          <w:sz w:val="22"/>
          <w:szCs w:val="28"/>
        </w:rPr>
        <w:t>管线分离</w:t>
      </w:r>
      <w:r>
        <w:rPr>
          <w:rFonts w:ascii="Times New Roman" w:hAnsi="Times New Roman" w:eastAsia="仿宋" w:cs="Times New Roman"/>
          <w:sz w:val="22"/>
          <w:szCs w:val="28"/>
        </w:rPr>
        <w:t>BIM</w:t>
      </w:r>
      <w:r>
        <w:rPr>
          <w:rFonts w:hint="default" w:ascii="Times New Roman" w:hAnsi="Times New Roman" w:eastAsia="仿宋" w:cs="Times New Roman"/>
          <w:sz w:val="22"/>
          <w:szCs w:val="28"/>
        </w:rPr>
        <w:t>模型</w:t>
      </w:r>
    </w:p>
    <w:p>
      <w:pPr>
        <w:adjustRightInd w:val="0"/>
        <w:snapToGrid w:val="0"/>
        <w:spacing w:after="240" w:line="520" w:lineRule="exact"/>
        <w:jc w:val="center"/>
        <w:rPr>
          <w:rFonts w:ascii="Times New Roman" w:hAnsi="Times New Roman" w:eastAsia="仿宋" w:cs="Times New Roman"/>
          <w:sz w:val="22"/>
          <w:szCs w:val="28"/>
        </w:rPr>
      </w:pPr>
    </w:p>
    <w:p>
      <w:pPr>
        <w:numPr>
          <w:ilvl w:val="0"/>
          <w:numId w:val="2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鼓励项采用情况统计表</w:t>
      </w:r>
    </w:p>
    <w:tbl>
      <w:tblPr>
        <w:tblStyle w:val="6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549"/>
        <w:gridCol w:w="2320"/>
        <w:gridCol w:w="154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鼓励项评价分值表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单体建筑编号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标准化设计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绿色与信息化应用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施工与管理</w:t>
            </w: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1"/>
              </w:rPr>
              <w:t>鼓励项评价分值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numPr>
          <w:ilvl w:val="0"/>
          <w:numId w:val="3"/>
        </w:numPr>
        <w:adjustRightInd w:val="0"/>
        <w:snapToGrid w:val="0"/>
        <w:spacing w:line="520" w:lineRule="exact"/>
        <w:rPr>
          <w:rFonts w:ascii="Times New Roman" w:hAnsi="Times New Roman" w:eastAsia="仿宋" w:cs="Times New Roman"/>
          <w:bCs/>
          <w:szCs w:val="21"/>
        </w:rPr>
      </w:pPr>
      <w:r>
        <w:rPr>
          <w:rFonts w:hint="default" w:ascii="Times New Roman" w:hAnsi="Times New Roman" w:eastAsia="仿宋" w:cs="Times New Roman"/>
          <w:bCs/>
          <w:szCs w:val="21"/>
        </w:rPr>
        <w:t>标准化设计详细计算项：</w:t>
      </w:r>
    </w:p>
    <w:p>
      <w:pPr>
        <w:adjustRightInd w:val="0"/>
        <w:snapToGrid w:val="0"/>
        <w:spacing w:line="520" w:lineRule="exact"/>
        <w:ind w:left="1004"/>
        <w:rPr>
          <w:rFonts w:ascii="Times New Roman" w:hAnsi="Times New Roman" w:eastAsia="仿宋" w:cs="Times New Roman"/>
          <w:bCs/>
          <w:szCs w:val="21"/>
        </w:rPr>
      </w:pPr>
      <w:r>
        <w:rPr>
          <w:rFonts w:ascii="Times New Roman" w:hAnsi="Times New Roman" w:eastAsia="仿宋" w:cs="Times New Roman"/>
          <w:bCs/>
          <w:szCs w:val="21"/>
        </w:rPr>
        <w:fldChar w:fldCharType="begin"/>
      </w:r>
      <w:r>
        <w:rPr>
          <w:rFonts w:ascii="Times New Roman" w:hAnsi="Times New Roman" w:eastAsia="仿宋" w:cs="Times New Roman"/>
          <w:bCs/>
          <w:szCs w:val="21"/>
        </w:rPr>
        <w:instrText xml:space="preserve"> = 1 \* GB3 </w:instrText>
      </w:r>
      <w:r>
        <w:rPr>
          <w:rFonts w:ascii="Times New Roman" w:hAnsi="Times New Roman" w:eastAsia="仿宋" w:cs="Times New Roman"/>
          <w:bCs/>
          <w:szCs w:val="21"/>
        </w:rPr>
        <w:fldChar w:fldCharType="separate"/>
      </w:r>
      <w:r>
        <w:rPr>
          <w:rFonts w:hint="default" w:ascii="Times New Roman" w:hAnsi="Times New Roman" w:eastAsia="仿宋" w:cs="Times New Roman"/>
          <w:bCs/>
          <w:szCs w:val="21"/>
        </w:rPr>
        <w:t>①</w:t>
      </w:r>
      <w:r>
        <w:rPr>
          <w:rFonts w:ascii="Times New Roman" w:hAnsi="Times New Roman" w:eastAsia="仿宋" w:cs="Times New Roman"/>
          <w:bCs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bCs/>
          <w:szCs w:val="21"/>
        </w:rPr>
        <w:t>：</w:t>
      </w:r>
    </w:p>
    <w:p>
      <w:pPr>
        <w:adjustRightInd w:val="0"/>
        <w:snapToGrid w:val="0"/>
        <w:spacing w:line="520" w:lineRule="exact"/>
        <w:ind w:left="1004"/>
        <w:rPr>
          <w:rFonts w:ascii="Times New Roman" w:hAnsi="Times New Roman" w:eastAsia="仿宋" w:cs="Times New Roman"/>
          <w:bCs/>
          <w:szCs w:val="21"/>
        </w:rPr>
      </w:pPr>
      <w:r>
        <w:rPr>
          <w:rFonts w:ascii="Times New Roman" w:hAnsi="Times New Roman" w:eastAsia="仿宋" w:cs="Times New Roman"/>
          <w:bCs/>
          <w:szCs w:val="21"/>
        </w:rPr>
        <w:fldChar w:fldCharType="begin"/>
      </w:r>
      <w:r>
        <w:rPr>
          <w:rFonts w:ascii="Times New Roman" w:hAnsi="Times New Roman" w:eastAsia="仿宋" w:cs="Times New Roman"/>
          <w:bCs/>
          <w:szCs w:val="21"/>
        </w:rPr>
        <w:instrText xml:space="preserve"> = 2 \* GB3 </w:instrText>
      </w:r>
      <w:r>
        <w:rPr>
          <w:rFonts w:ascii="Times New Roman" w:hAnsi="Times New Roman" w:eastAsia="仿宋" w:cs="Times New Roman"/>
          <w:bCs/>
          <w:szCs w:val="21"/>
        </w:rPr>
        <w:fldChar w:fldCharType="separate"/>
      </w:r>
      <w:r>
        <w:rPr>
          <w:rFonts w:hint="default" w:ascii="Times New Roman" w:hAnsi="Times New Roman" w:eastAsia="仿宋" w:cs="Times New Roman"/>
          <w:bCs/>
          <w:szCs w:val="21"/>
        </w:rPr>
        <w:t>②</w:t>
      </w:r>
      <w:r>
        <w:rPr>
          <w:rFonts w:ascii="Times New Roman" w:hAnsi="Times New Roman" w:eastAsia="仿宋" w:cs="Times New Roman"/>
          <w:bCs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bCs/>
          <w:szCs w:val="21"/>
        </w:rPr>
        <w:t>：</w:t>
      </w:r>
    </w:p>
    <w:p>
      <w:pPr>
        <w:adjustRightInd w:val="0"/>
        <w:snapToGrid w:val="0"/>
        <w:spacing w:line="520" w:lineRule="exact"/>
        <w:ind w:left="1004"/>
        <w:rPr>
          <w:rFonts w:ascii="Times New Roman" w:hAnsi="Times New Roman" w:eastAsia="仿宋" w:cs="Times New Roman"/>
          <w:bCs/>
          <w:szCs w:val="21"/>
        </w:rPr>
      </w:pPr>
      <w:r>
        <w:rPr>
          <w:rFonts w:ascii="Times New Roman" w:hAnsi="Times New Roman" w:eastAsia="仿宋" w:cs="Times New Roman"/>
          <w:bCs/>
          <w:szCs w:val="21"/>
        </w:rPr>
        <w:fldChar w:fldCharType="begin"/>
      </w:r>
      <w:r>
        <w:rPr>
          <w:rFonts w:ascii="Times New Roman" w:hAnsi="Times New Roman" w:eastAsia="仿宋" w:cs="Times New Roman"/>
          <w:bCs/>
          <w:szCs w:val="21"/>
        </w:rPr>
        <w:instrText xml:space="preserve"> = 3 \* GB3 </w:instrText>
      </w:r>
      <w:r>
        <w:rPr>
          <w:rFonts w:ascii="Times New Roman" w:hAnsi="Times New Roman" w:eastAsia="仿宋" w:cs="Times New Roman"/>
          <w:bCs/>
          <w:szCs w:val="21"/>
        </w:rPr>
        <w:fldChar w:fldCharType="separate"/>
      </w:r>
      <w:r>
        <w:rPr>
          <w:rFonts w:hint="default" w:ascii="Times New Roman" w:hAnsi="Times New Roman" w:eastAsia="仿宋" w:cs="Times New Roman"/>
          <w:bCs/>
          <w:szCs w:val="21"/>
        </w:rPr>
        <w:t>③</w:t>
      </w:r>
      <w:r>
        <w:rPr>
          <w:rFonts w:ascii="Times New Roman" w:hAnsi="Times New Roman" w:eastAsia="仿宋" w:cs="Times New Roman"/>
          <w:bCs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bCs/>
          <w:szCs w:val="21"/>
        </w:rPr>
        <w:t>：</w:t>
      </w:r>
    </w:p>
    <w:p>
      <w:pPr>
        <w:adjustRightInd w:val="0"/>
        <w:snapToGrid w:val="0"/>
        <w:spacing w:line="520" w:lineRule="exact"/>
        <w:ind w:left="1004"/>
        <w:rPr>
          <w:rFonts w:ascii="Times New Roman" w:hAnsi="Times New Roman" w:eastAsia="仿宋" w:cs="Times New Roman"/>
          <w:bCs/>
          <w:szCs w:val="21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/>
        <w:keepLines/>
        <w:adjustRightInd w:val="0"/>
        <w:snapToGrid w:val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四、结论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根据广东省标准《装配式建筑评价标准》（</w:t>
      </w:r>
      <w:r>
        <w:rPr>
          <w:rFonts w:ascii="Times New Roman" w:hAnsi="Times New Roman" w:eastAsia="仿宋" w:cs="Times New Roman"/>
          <w:sz w:val="28"/>
          <w:szCs w:val="28"/>
        </w:rPr>
        <w:t>DBJ/T 15-163-2019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惠州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>项目</w:t>
      </w:r>
      <w:r>
        <w:rPr>
          <w:rFonts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栋及</w:t>
      </w:r>
      <w:r>
        <w:rPr>
          <w:rFonts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栋装配率计算如下：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P=[</w:t>
      </w: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Q1+Q2+Q3+Q5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100-Q4</w:t>
      </w:r>
      <w:r>
        <w:rPr>
          <w:rFonts w:hint="default" w:ascii="Times New Roman" w:hAnsi="Times New Roman" w:eastAsia="仿宋" w:cs="Times New Roman"/>
          <w:sz w:val="28"/>
          <w:szCs w:val="28"/>
        </w:rPr>
        <w:t>）×</w:t>
      </w:r>
      <w:r>
        <w:rPr>
          <w:rFonts w:ascii="Times New Roman" w:hAnsi="Times New Roman" w:eastAsia="仿宋" w:cs="Times New Roman"/>
          <w:sz w:val="28"/>
          <w:szCs w:val="28"/>
        </w:rPr>
        <w:t>100%]+[Q6/100</w:t>
      </w:r>
      <w:r>
        <w:rPr>
          <w:rFonts w:hint="default" w:ascii="Times New Roman" w:hAnsi="Times New Roman" w:eastAsia="仿宋" w:cs="Times New Roman"/>
          <w:sz w:val="28"/>
          <w:szCs w:val="28"/>
        </w:rPr>
        <w:t>×</w:t>
      </w:r>
      <w:r>
        <w:rPr>
          <w:rFonts w:ascii="Times New Roman" w:hAnsi="Times New Roman" w:eastAsia="仿宋" w:cs="Times New Roman"/>
          <w:sz w:val="28"/>
          <w:szCs w:val="28"/>
        </w:rPr>
        <w:t>100%]=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装配率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符合广东省《装配式建筑评价标准》装配率的要求。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</w:rPr>
        <w:t>X</w:t>
      </w:r>
      <w:r>
        <w:rPr>
          <w:rFonts w:hint="default" w:ascii="Times New Roman" w:hAnsi="Times New Roman" w:eastAsia="仿宋" w:cs="Times New Roman"/>
          <w:sz w:val="28"/>
          <w:szCs w:val="28"/>
        </w:rPr>
        <w:t>栋：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P=[</w:t>
      </w: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Q1+Q2+Q3+Q5</w:t>
      </w:r>
      <w:r>
        <w:rPr>
          <w:rFonts w:hint="default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default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100-Q4</w:t>
      </w:r>
      <w:r>
        <w:rPr>
          <w:rFonts w:hint="default" w:ascii="Times New Roman" w:hAnsi="Times New Roman" w:eastAsia="仿宋" w:cs="Times New Roman"/>
          <w:sz w:val="28"/>
          <w:szCs w:val="28"/>
        </w:rPr>
        <w:t>）×</w:t>
      </w:r>
      <w:r>
        <w:rPr>
          <w:rFonts w:ascii="Times New Roman" w:hAnsi="Times New Roman" w:eastAsia="仿宋" w:cs="Times New Roman"/>
          <w:sz w:val="28"/>
          <w:szCs w:val="28"/>
        </w:rPr>
        <w:t>100%]+[Q6/100</w:t>
      </w:r>
      <w:r>
        <w:rPr>
          <w:rFonts w:hint="default" w:ascii="Times New Roman" w:hAnsi="Times New Roman" w:eastAsia="仿宋" w:cs="Times New Roman"/>
          <w:sz w:val="28"/>
          <w:szCs w:val="28"/>
        </w:rPr>
        <w:t>×</w:t>
      </w:r>
      <w:r>
        <w:rPr>
          <w:rFonts w:ascii="Times New Roman" w:hAnsi="Times New Roman" w:eastAsia="仿宋" w:cs="Times New Roman"/>
          <w:sz w:val="28"/>
          <w:szCs w:val="28"/>
        </w:rPr>
        <w:t>100%]=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装配率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符合广东省《装配式建筑评价标准》装配率的要求。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sectPr>
          <w:pgSz w:w="11906" w:h="16838"/>
          <w:pgMar w:top="2098" w:right="1247" w:bottom="147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附件1-4：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732"/>
        <w:gridCol w:w="942"/>
        <w:gridCol w:w="2971"/>
        <w:gridCol w:w="2179"/>
        <w:gridCol w:w="1131"/>
        <w:gridCol w:w="862"/>
        <w:gridCol w:w="3822"/>
        <w:gridCol w:w="615"/>
        <w:gridCol w:w="805"/>
        <w:gridCol w:w="3164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000" w:type="pct"/>
            <w:gridSpan w:val="1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惠州市装配式建筑评分表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2632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实施装配式建筑楼栋号：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建设单位：</w:t>
            </w:r>
          </w:p>
        </w:tc>
        <w:tc>
          <w:tcPr>
            <w:tcW w:w="2632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67" w:type="pct"/>
            <w:gridSpan w:val="7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装配式建筑评分表</w:t>
            </w:r>
          </w:p>
        </w:tc>
        <w:tc>
          <w:tcPr>
            <w:tcW w:w="2632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5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Microsoft YaHei UI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评价要求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评价分值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最低分值</w:t>
            </w: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自评说明</w:t>
            </w:r>
          </w:p>
        </w:tc>
        <w:tc>
          <w:tcPr>
            <w:tcW w:w="15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专家审核得分</w:t>
            </w:r>
          </w:p>
        </w:tc>
        <w:tc>
          <w:tcPr>
            <w:tcW w:w="70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施工图审查机构核实得分情况</w:t>
            </w:r>
          </w:p>
        </w:tc>
        <w:tc>
          <w:tcPr>
            <w:tcW w:w="65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Q1：主体结构（50分）</w:t>
            </w: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1a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柱、支撑、承重墙、延性墙板等竖向构件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35%≤比例≤80%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20~30*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Q1a应用比例为：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1b</w:t>
            </w:r>
          </w:p>
        </w:tc>
        <w:tc>
          <w:tcPr>
            <w:tcW w:w="941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梁、板、楼梯、阳台、空调板等构件</w:t>
            </w:r>
          </w:p>
        </w:tc>
        <w:tc>
          <w:tcPr>
            <w:tcW w:w="5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70%≤比例≤80%</w:t>
            </w: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10~20*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Q1b应用比例为：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Q2：围护墙和内隔墙（20分）</w:t>
            </w: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2a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非承重围护墙非砌筑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比例≥80%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Q2a应用比例为：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2b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围护墙与保温、隔热、装饰集成一体化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50%≤比例≤80%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2~5*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Q2b应用比例为为：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2c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内隔墙非砌筑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比例≥50%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Q2c应用比例为：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2d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内隔墙与管线、装修集成一体化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50%≤比例≤80%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2~5*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Q2d应用比例为：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Q3：装修和设备管线（30分）</w:t>
            </w: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3a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全装修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□否）满足全装修要求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3b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干式工法楼面、地面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比例≥70%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Q3b应用比例为：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3c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集成厨房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70%≤比例≤90%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3~6*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Q3c应用比例为：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3d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集成卫生间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70%≤比例≤90%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3~6*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Q3d应用比例为：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% 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3e</w:t>
            </w:r>
          </w:p>
        </w:tc>
        <w:tc>
          <w:tcPr>
            <w:tcW w:w="941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管线分离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50%≤比例≤70%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4~6*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Q3e应用比例为：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Q5：细化项（22分）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51a</w:t>
            </w:r>
          </w:p>
        </w:tc>
        <w:tc>
          <w:tcPr>
            <w:tcW w:w="7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主体结构竖向构件细化项</w:t>
            </w:r>
          </w:p>
        </w:tc>
        <w:tc>
          <w:tcPr>
            <w:tcW w:w="5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5%≤比例＜35%</w:t>
            </w: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7~10*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Q51a应用比例为：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51b</w:t>
            </w:r>
          </w:p>
        </w:tc>
        <w:tc>
          <w:tcPr>
            <w:tcW w:w="71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预制外墙板</w:t>
            </w:r>
          </w:p>
        </w:tc>
        <w:tc>
          <w:tcPr>
            <w:tcW w:w="52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5%≤比例≤15%</w:t>
            </w:r>
          </w:p>
        </w:tc>
        <w:tc>
          <w:tcPr>
            <w:tcW w:w="27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7~10*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Q51b应用比例为：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围护墙和内隔墙细化项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围护墙与保温、隔热集成一体化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50%≤比例≤80%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1~2.5*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围护墙与保温、隔热集成一体化比例为：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内隔墙与管线集成一体化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50%≤比例≤80%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1~2.5*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内隔墙与管线集成一体化比例为：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装修和设备管线细化项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干式工法楼面、地面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50%≤比例＜70%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1~2*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干式工法楼面、地面应用比例为：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集成厨房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50%≤比例＜70%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1~1.5*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集成厨房应用比例为：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集成卫生间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50%≤比例＜70%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1~1.5*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集成卫生间应用比例为：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管线分离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30%≤比例＜50%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1~2*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管线分离应用比例为：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Q6：鼓励项</w:t>
            </w: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标准化设计鼓励项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平面布置标准化</w:t>
            </w:r>
          </w:p>
        </w:tc>
        <w:tc>
          <w:tcPr>
            <w:tcW w:w="524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□否）平面布置标准化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预制构件与部品标准化</w:t>
            </w:r>
          </w:p>
        </w:tc>
        <w:tc>
          <w:tcPr>
            <w:tcW w:w="524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□否）预制构件与部品标准化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节点标准化</w:t>
            </w:r>
          </w:p>
        </w:tc>
        <w:tc>
          <w:tcPr>
            <w:tcW w:w="524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□否）节点标准化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绿色与信息化应用鼓励项</w:t>
            </w:r>
          </w:p>
        </w:tc>
        <w:tc>
          <w:tcPr>
            <w:tcW w:w="712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绿色建筑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取得绿色建筑评价1星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□否）取得绿色建筑评价1星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取得绿色建筑评价2星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□否）取得绿色建筑评价2星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取得绿色建筑评价3星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□否）取得绿色建筑评价3星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BIM应用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满足运营、维护阶段应用要求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□否）BIM 应用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智能化应用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□否）智能化应用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3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</w:t>
            </w:r>
            <w:r>
              <w:rPr>
                <w:rStyle w:val="20"/>
                <w:rFonts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施工与管理鼓励项</w:t>
            </w:r>
          </w:p>
        </w:tc>
        <w:tc>
          <w:tcPr>
            <w:tcW w:w="712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绿色施工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绿色施工评价为合格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□否）绿色施工评价为合格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绿色施工评价为优良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□否）绿色施工评价为优良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3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工程总承包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一家单位/联合体单位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21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（□是 □否）工程总承包</w:t>
            </w:r>
          </w:p>
        </w:tc>
        <w:tc>
          <w:tcPr>
            <w:tcW w:w="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  <w:r>
              <w:rPr>
                <w:rStyle w:val="21"/>
                <w:rFonts w:eastAsia="Microsoft YaHei UI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不参评□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843915</wp:posOffset>
                  </wp:positionV>
                  <wp:extent cx="4914900" cy="454025"/>
                  <wp:effectExtent l="0" t="0" r="0" b="2540"/>
                  <wp:wrapNone/>
                  <wp:docPr id="22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文本框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Q4缺少项实际得分总和：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Q6项实际得分总和：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P实际装配率总和：</w:t>
            </w:r>
          </w:p>
        </w:tc>
        <w:tc>
          <w:tcPr>
            <w:tcW w:w="1715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367" w:type="pct"/>
            <w:gridSpan w:val="7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建设单位（盖公章）：</w:t>
            </w:r>
          </w:p>
        </w:tc>
        <w:tc>
          <w:tcPr>
            <w:tcW w:w="2632" w:type="pct"/>
            <w:gridSpan w:val="5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设计单位（盖公章或设计业务章）：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7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pct"/>
            <w:gridSpan w:val="5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5000" w:type="pct"/>
            <w:gridSpan w:val="1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专家审核结论：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项目设计阶段技术评分 □满足 □不满足 广东省《装配式建筑评价标准》（DBJ/T15-163-2019）要求。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具体评审意见详见附件。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5000" w:type="pct"/>
            <w:gridSpan w:val="1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 1：表中带“*”项的分值采用“内插法”计算，计算结果取小数点后 1 位。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 2：Q51 合计得分如大于 10 分，按10分计算，Q51a 不应与 Q1a 同时得分，Q1 最低得分可包含 Q51 得分，Q1 与 Q51 合计得分不大于 50分；Q52 不应与 Q2b、Q2d 同时得分，Q2 最低得分可包含 Q52 得分； Q53 不应与 Q3b、Q3c、Q3d、Q3e 同时得分。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 3：单元式幕墙满足保温、隔热节能指标时，可参照 Q2b 进行评价。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sectPr>
          <w:pgSz w:w="23811" w:h="16838" w:orient="landscape"/>
          <w:pgMar w:top="1803" w:right="1440" w:bottom="1803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附件1-5：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center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惠州市装配式建筑项目专家评审意见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202X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年X月XX日，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>（建设单位）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组织召开了</w:t>
            </w:r>
            <w:bookmarkStart w:id="4" w:name="OLE_LINK5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装配式建筑</w:t>
            </w:r>
            <w:bookmarkEnd w:id="4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项目设计阶段专家评审会，对</w:t>
            </w:r>
            <w:bookmarkStart w:id="5" w:name="OLE_LINK2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>XXXXXX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</w:t>
            </w:r>
            <w:bookmarkEnd w:id="5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>X栋X座、X栋、X栋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）进行技术</w:t>
            </w:r>
            <w:bookmarkStart w:id="6" w:name="OLE_LINK33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评审，由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名装配式建筑专家开展评审工作</w:t>
            </w:r>
            <w:bookmarkEnd w:id="6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。专家听取了项目汇报，审查了该项目相关文件及资料，经质询形成以下评审意见：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Chars="200"/>
              <w:jc w:val="distribute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项目提交的装配式建筑相关文件及资料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齐全/不齐全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、深度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满足/不满足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经过专家组评审，提出以下建议：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…</w:t>
            </w:r>
          </w:p>
          <w:p>
            <w:pPr>
              <w:spacing w:before="156" w:beforeLines="50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经过专家组评审，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项目  □符合  □不符合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装配式建筑评分规则的要求。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line="240" w:lineRule="auto"/>
              <w:textAlignment w:val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项目评审专家名单：</w:t>
            </w:r>
          </w:p>
          <w:tbl>
            <w:tblPr>
              <w:tblStyle w:val="6"/>
              <w:tblW w:w="0" w:type="auto"/>
              <w:tblInd w:w="3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1"/>
              <w:gridCol w:w="4070"/>
              <w:gridCol w:w="1761"/>
              <w:gridCol w:w="20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exac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4"/>
                      <w:szCs w:val="24"/>
                    </w:rPr>
                    <w:t>职称/职务</w:t>
                  </w: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4"/>
                      <w:szCs w:val="24"/>
                    </w:rPr>
                    <w:t>签字栏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21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312" w:beforeLines="1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202X年X月X日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5" w:h="16838"/>
      <w:pgMar w:top="2098" w:right="1247" w:bottom="1474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07xCq8BAABLAwAADgAAAGRycy9lMm9Eb2MueG1srVPNahsxEL4H8g5C&#10;91prE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P07xCq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yhGPa8BAABLAwAADgAAAGRycy9lMm9Eb2MueG1srVPNahsxEL4H8g5C&#10;91prQ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zyhGP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34</w:t>
    </w:r>
    <w:r>
      <w:fldChar w:fldCharType="end"/>
    </w:r>
  </w:p>
  <w:p>
    <w:pPr>
      <w:pStyle w:val="3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fknQAAAAAwEAAA8AAAAAAAAAAQAgAAAAIgAAAGRycy9kb3ducmV2LnhtbFBLAQIUABQAAAAI&#10;AIdO4kB84yT+9QEAAMQDAAAOAAAAAAAAAAEAIAAAAB8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B17"/>
    <w:multiLevelType w:val="multilevel"/>
    <w:tmpl w:val="42822B17"/>
    <w:lvl w:ilvl="0" w:tentative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7C5CE3"/>
    <w:multiLevelType w:val="multilevel"/>
    <w:tmpl w:val="507C5CE3"/>
    <w:lvl w:ilvl="0" w:tentative="0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6D7B65C8"/>
    <w:multiLevelType w:val="multilevel"/>
    <w:tmpl w:val="6D7B65C8"/>
    <w:lvl w:ilvl="0" w:tentative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C0882"/>
    <w:rsid w:val="059C0882"/>
    <w:rsid w:val="061E3204"/>
    <w:rsid w:val="06264400"/>
    <w:rsid w:val="091F4002"/>
    <w:rsid w:val="0B51080D"/>
    <w:rsid w:val="0D0D606E"/>
    <w:rsid w:val="118E36F7"/>
    <w:rsid w:val="1BA02673"/>
    <w:rsid w:val="1D893412"/>
    <w:rsid w:val="20CA204B"/>
    <w:rsid w:val="23472FDD"/>
    <w:rsid w:val="2FD2667A"/>
    <w:rsid w:val="3C12382C"/>
    <w:rsid w:val="41AB3745"/>
    <w:rsid w:val="431E452D"/>
    <w:rsid w:val="44510A51"/>
    <w:rsid w:val="456F06E0"/>
    <w:rsid w:val="4B997795"/>
    <w:rsid w:val="54E91353"/>
    <w:rsid w:val="59607E09"/>
    <w:rsid w:val="5C037C8A"/>
    <w:rsid w:val="655B2EA4"/>
    <w:rsid w:val="69D156AD"/>
    <w:rsid w:val="7B5B667C"/>
    <w:rsid w:val="7E5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unhideWhenUsed/>
    <w:qFormat/>
    <w:uiPriority w:val="39"/>
    <w:rPr>
      <w:szCs w:val="22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paragraph" w:customStyle="1" w:styleId="13">
    <w:name w:val="CM19"/>
    <w:basedOn w:val="12"/>
    <w:next w:val="12"/>
    <w:qFormat/>
    <w:uiPriority w:val="0"/>
    <w:pPr>
      <w:spacing w:after="70" w:afterLines="0"/>
    </w:pPr>
    <w:rPr>
      <w:rFonts w:cs="Times New Roman"/>
      <w:color w:val="auto"/>
    </w:rPr>
  </w:style>
  <w:style w:type="paragraph" w:customStyle="1" w:styleId="14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15">
    <w:name w:val="表格"/>
    <w:basedOn w:val="1"/>
    <w:qFormat/>
    <w:uiPriority w:val="0"/>
    <w:pPr>
      <w:jc w:val="center"/>
    </w:pPr>
    <w:rPr>
      <w:rFonts w:asciiTheme="minorHAnsi" w:hAnsiTheme="minorHAnsi" w:eastAsiaTheme="minorEastAsia" w:cstheme="minorBidi"/>
    </w:rPr>
  </w:style>
  <w:style w:type="paragraph" w:styleId="16">
    <w:name w:val="List Paragraph"/>
    <w:basedOn w:val="1"/>
    <w:qFormat/>
    <w:uiPriority w:val="1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ind w:left="88"/>
      <w:jc w:val="center"/>
    </w:pPr>
    <w:rPr>
      <w:rFonts w:ascii="宋体" w:hAnsi="宋体" w:cs="宋体"/>
      <w:kern w:val="0"/>
      <w:sz w:val="22"/>
      <w:szCs w:val="22"/>
      <w:lang w:eastAsia="en-US" w:bidi="en-US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4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20">
    <w:name w:val="font112"/>
    <w:basedOn w:val="7"/>
    <w:uiPriority w:val="0"/>
    <w:rPr>
      <w:rFonts w:hint="default" w:ascii="Microsoft YaHei UI" w:hAnsi="Microsoft YaHei UI" w:eastAsia="Microsoft YaHei UI" w:cs="Microsoft YaHei UI"/>
      <w:color w:val="000000"/>
      <w:sz w:val="16"/>
      <w:szCs w:val="16"/>
      <w:u w:val="none"/>
    </w:rPr>
  </w:style>
  <w:style w:type="character" w:customStyle="1" w:styleId="21">
    <w:name w:val="font10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热狗edc</dc:creator>
  <cp:lastModifiedBy>练晓旋</cp:lastModifiedBy>
  <cp:lastPrinted>2021-03-29T06:22:00Z</cp:lastPrinted>
  <dcterms:modified xsi:type="dcterms:W3CDTF">2021-04-15T09:21:35Z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